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15C" w:rsidRPr="00E51F6E" w:rsidRDefault="00642AC9" w:rsidP="00E51F6E">
      <w:pPr>
        <w:spacing w:line="360" w:lineRule="auto"/>
        <w:jc w:val="center"/>
        <w:rPr>
          <w:rFonts w:ascii="微软雅黑" w:eastAsia="微软雅黑" w:hAnsi="微软雅黑" w:cs="黑体"/>
          <w:b/>
          <w:sz w:val="28"/>
          <w:szCs w:val="28"/>
        </w:rPr>
      </w:pPr>
      <w:r w:rsidRPr="00E51F6E">
        <w:rPr>
          <w:rFonts w:ascii="微软雅黑" w:eastAsia="微软雅黑" w:hAnsi="微软雅黑" w:cs="黑体" w:hint="eastAsia"/>
          <w:b/>
          <w:sz w:val="28"/>
          <w:szCs w:val="28"/>
        </w:rPr>
        <w:t>2017</w:t>
      </w:r>
      <w:r w:rsidRPr="00E51F6E">
        <w:rPr>
          <w:rFonts w:ascii="微软雅黑" w:eastAsia="微软雅黑" w:hAnsi="微软雅黑" w:cs="黑体" w:hint="eastAsia"/>
          <w:b/>
          <w:sz w:val="28"/>
          <w:szCs w:val="28"/>
        </w:rPr>
        <w:t>年《房地产开发经营与管理》真题</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一、单项选择题（共</w:t>
      </w:r>
      <w:r w:rsidRPr="00E51F6E">
        <w:rPr>
          <w:rFonts w:ascii="微软雅黑" w:eastAsia="微软雅黑" w:hAnsi="微软雅黑" w:cs="黑体" w:hint="eastAsia"/>
          <w:color w:val="000000"/>
          <w:kern w:val="0"/>
          <w:szCs w:val="21"/>
        </w:rPr>
        <w:t>35</w:t>
      </w:r>
      <w:r w:rsidRPr="00E51F6E">
        <w:rPr>
          <w:rFonts w:ascii="微软雅黑" w:eastAsia="微软雅黑" w:hAnsi="微软雅黑" w:cs="黑体" w:hint="eastAsia"/>
          <w:color w:val="000000"/>
          <w:kern w:val="0"/>
          <w:szCs w:val="21"/>
        </w:rPr>
        <w:t>题，每题</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分。每题的备选答案中只有</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个最符合题意，请在答题卡上涂黑其相应的编号）</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房地产投资分为土地开发投资、房地产开发投资和房地产经营投资，是按照（　）的不同进行划分的。</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物业用途类型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投资对象存在形式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房地产投资主体</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房地产业经济活动类型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投资概述。根据房地产业经济活动类型的不同，可以将房地产投资划分为从事土地开发活动的土地开发投资、从事各类房屋开发活动的房地产开发投资和从事各类房地产出租经营活动的房地产经营投资。参见教材</w:t>
      </w:r>
      <w:r w:rsidRPr="00E51F6E">
        <w:rPr>
          <w:rFonts w:ascii="微软雅黑" w:eastAsia="微软雅黑" w:hAnsi="微软雅黑" w:cs="黑体" w:hint="eastAsia"/>
          <w:color w:val="000000"/>
          <w:kern w:val="0"/>
          <w:szCs w:val="21"/>
        </w:rPr>
        <w:t>P4</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下列房地产投资风险中，房地产开发企业可以控制的是（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收益现金流风险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市场供求风险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通货膨胀风险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利率变动风险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【解析】本题考查的是房地产投资的个别风险。房地产投资中的个别风险是可以控制的风险，包括收益现金流风险、未来运营费用风险、资本价值风险、机会成本风</w:t>
      </w:r>
      <w:r w:rsidRPr="00E51F6E">
        <w:rPr>
          <w:rFonts w:ascii="微软雅黑" w:eastAsia="微软雅黑" w:hAnsi="微软雅黑" w:cs="黑体" w:hint="eastAsia"/>
          <w:color w:val="000000"/>
          <w:kern w:val="0"/>
          <w:szCs w:val="21"/>
        </w:rPr>
        <w:t>险、时间风险和持有其风险。参见教材</w:t>
      </w:r>
      <w:r w:rsidRPr="00E51F6E">
        <w:rPr>
          <w:rFonts w:ascii="微软雅黑" w:eastAsia="微软雅黑" w:hAnsi="微软雅黑" w:cs="黑体" w:hint="eastAsia"/>
          <w:color w:val="000000"/>
          <w:kern w:val="0"/>
          <w:szCs w:val="21"/>
        </w:rPr>
        <w:t>P21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下列房地产投资行为中，房地产投资管理经验丰富的机构投资者通常会选择的是（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开发商品住宅</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开发工业厂房</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购买优良区位的新竣工物业</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购买繁华区域的成熟物业</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直接投资。对于房地产机构投资者而言，缺乏房地产投资管理经验且具有低风险偏好的投资者，往往倾向于购买处于黄金地段的优质成熟物业，这类物业的购买价格高、收益水平较低但风险也低；而具备房地产投资管理经验的机构投资者，则更倾向于购买处于优良区位的新竣工甚至尚未竣工的物业，这类物业初始价值和收益水平较低，但随着投资者的持续资源投入和培育，物业价值和收益能力逐步提升，当达到成熟物业的状况时，投资者可能继续持有，也可能转让给前一类投资者。参见教材</w:t>
      </w:r>
      <w:r w:rsidRPr="00E51F6E">
        <w:rPr>
          <w:rFonts w:ascii="微软雅黑" w:eastAsia="微软雅黑" w:hAnsi="微软雅黑" w:cs="黑体" w:hint="eastAsia"/>
          <w:color w:val="000000"/>
          <w:kern w:val="0"/>
          <w:szCs w:val="21"/>
        </w:rPr>
        <w:t>P11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w:t>
      </w:r>
      <w:r w:rsidRPr="00E51F6E">
        <w:rPr>
          <w:rFonts w:ascii="微软雅黑" w:eastAsia="微软雅黑" w:hAnsi="微软雅黑" w:cs="黑体" w:hint="eastAsia"/>
          <w:color w:val="000000"/>
          <w:kern w:val="0"/>
          <w:szCs w:val="21"/>
        </w:rPr>
        <w:t>某市</w:t>
      </w:r>
      <w:r w:rsidRPr="00E51F6E">
        <w:rPr>
          <w:rFonts w:ascii="微软雅黑" w:eastAsia="微软雅黑" w:hAnsi="微软雅黑" w:cs="黑体" w:hint="eastAsia"/>
          <w:color w:val="000000"/>
          <w:kern w:val="0"/>
          <w:szCs w:val="21"/>
        </w:rPr>
        <w:t>2016</w:t>
      </w:r>
      <w:r w:rsidRPr="00E51F6E">
        <w:rPr>
          <w:rFonts w:ascii="微软雅黑" w:eastAsia="微软雅黑" w:hAnsi="微软雅黑" w:cs="黑体" w:hint="eastAsia"/>
          <w:color w:val="000000"/>
          <w:kern w:val="0"/>
          <w:szCs w:val="21"/>
        </w:rPr>
        <w:t>年商品住宅新开工面积为</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00</w:t>
      </w:r>
      <w:r w:rsidRPr="00E51F6E">
        <w:rPr>
          <w:rFonts w:ascii="微软雅黑" w:eastAsia="微软雅黑" w:hAnsi="微软雅黑" w:cs="黑体" w:hint="eastAsia"/>
          <w:color w:val="000000"/>
          <w:kern w:val="0"/>
          <w:szCs w:val="21"/>
        </w:rPr>
        <w:t>万平方米，竣工面积为</w:t>
      </w:r>
      <w:r w:rsidRPr="00E51F6E">
        <w:rPr>
          <w:rFonts w:ascii="微软雅黑" w:eastAsia="微软雅黑" w:hAnsi="微软雅黑" w:cs="黑体" w:hint="eastAsia"/>
          <w:color w:val="000000"/>
          <w:kern w:val="0"/>
          <w:szCs w:val="21"/>
        </w:rPr>
        <w:t>400</w:t>
      </w:r>
      <w:r w:rsidRPr="00E51F6E">
        <w:rPr>
          <w:rFonts w:ascii="微软雅黑" w:eastAsia="微软雅黑" w:hAnsi="微软雅黑" w:cs="黑体" w:hint="eastAsia"/>
          <w:color w:val="000000"/>
          <w:kern w:val="0"/>
          <w:szCs w:val="21"/>
        </w:rPr>
        <w:t>万平方米，</w:t>
      </w:r>
      <w:r w:rsidRPr="00E51F6E">
        <w:rPr>
          <w:rFonts w:ascii="微软雅黑" w:eastAsia="微软雅黑" w:hAnsi="微软雅黑" w:cs="黑体" w:hint="eastAsia"/>
          <w:color w:val="000000"/>
          <w:kern w:val="0"/>
          <w:szCs w:val="21"/>
        </w:rPr>
        <w:t>2015</w:t>
      </w:r>
      <w:r w:rsidRPr="00E51F6E">
        <w:rPr>
          <w:rFonts w:ascii="微软雅黑" w:eastAsia="微软雅黑" w:hAnsi="微软雅黑" w:cs="黑体" w:hint="eastAsia"/>
          <w:color w:val="000000"/>
          <w:kern w:val="0"/>
          <w:szCs w:val="21"/>
        </w:rPr>
        <w:t>年底未完工并继续施工的商品住宅面积为</w:t>
      </w:r>
      <w:r w:rsidRPr="00E51F6E">
        <w:rPr>
          <w:rFonts w:ascii="微软雅黑" w:eastAsia="微软雅黑" w:hAnsi="微软雅黑" w:cs="黑体" w:hint="eastAsia"/>
          <w:color w:val="000000"/>
          <w:kern w:val="0"/>
          <w:szCs w:val="21"/>
        </w:rPr>
        <w:t>200</w:t>
      </w:r>
      <w:r w:rsidRPr="00E51F6E">
        <w:rPr>
          <w:rFonts w:ascii="微软雅黑" w:eastAsia="微软雅黑" w:hAnsi="微软雅黑" w:cs="黑体" w:hint="eastAsia"/>
          <w:color w:val="000000"/>
          <w:kern w:val="0"/>
          <w:szCs w:val="21"/>
        </w:rPr>
        <w:t>万平方米，该市商品住宅的平均建设周期为（　）年。</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A.0.5</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B.1.0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C.1.5</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D.2.0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【解析】本题考查的是房地产市场指标。平均建设周期</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房屋施工面积</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新竣工面积</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600+200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/400=2</w:t>
      </w:r>
      <w:r w:rsidRPr="00E51F6E">
        <w:rPr>
          <w:rFonts w:ascii="微软雅黑" w:eastAsia="微软雅黑" w:hAnsi="微软雅黑" w:cs="黑体" w:hint="eastAsia"/>
          <w:color w:val="000000"/>
          <w:kern w:val="0"/>
          <w:szCs w:val="21"/>
        </w:rPr>
        <w:t>。参见教材</w:t>
      </w:r>
      <w:r w:rsidRPr="00E51F6E">
        <w:rPr>
          <w:rFonts w:ascii="微软雅黑" w:eastAsia="微软雅黑" w:hAnsi="微软雅黑" w:cs="黑体" w:hint="eastAsia"/>
          <w:color w:val="000000"/>
          <w:kern w:val="0"/>
          <w:szCs w:val="21"/>
        </w:rPr>
        <w:t>P40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41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下列房地产市场指标中，属于房地产租赁市场供给指标的是（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房地产租金</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房地产实际出租量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出租房屋空置率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房价租金比</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【解析】本题考查的是房地产市场指标。房地产租金、出租</w:t>
      </w:r>
      <w:proofErr w:type="gramStart"/>
      <w:r w:rsidRPr="00E51F6E">
        <w:rPr>
          <w:rFonts w:ascii="微软雅黑" w:eastAsia="微软雅黑" w:hAnsi="微软雅黑" w:cs="黑体" w:hint="eastAsia"/>
          <w:color w:val="000000"/>
          <w:kern w:val="0"/>
          <w:szCs w:val="21"/>
        </w:rPr>
        <w:t>量属于</w:t>
      </w:r>
      <w:proofErr w:type="gramEnd"/>
      <w:r w:rsidRPr="00E51F6E">
        <w:rPr>
          <w:rFonts w:ascii="微软雅黑" w:eastAsia="微软雅黑" w:hAnsi="微软雅黑" w:cs="黑体" w:hint="eastAsia"/>
          <w:color w:val="000000"/>
          <w:kern w:val="0"/>
          <w:szCs w:val="21"/>
        </w:rPr>
        <w:t>市场交易指标，房价租金</w:t>
      </w:r>
      <w:proofErr w:type="gramStart"/>
      <w:r w:rsidRPr="00E51F6E">
        <w:rPr>
          <w:rFonts w:ascii="微软雅黑" w:eastAsia="微软雅黑" w:hAnsi="微软雅黑" w:cs="黑体" w:hint="eastAsia"/>
          <w:color w:val="000000"/>
          <w:kern w:val="0"/>
          <w:szCs w:val="21"/>
        </w:rPr>
        <w:t>比属于</w:t>
      </w:r>
      <w:proofErr w:type="gramEnd"/>
      <w:r w:rsidRPr="00E51F6E">
        <w:rPr>
          <w:rFonts w:ascii="微软雅黑" w:eastAsia="微软雅黑" w:hAnsi="微软雅黑" w:cs="黑体" w:hint="eastAsia"/>
          <w:color w:val="000000"/>
          <w:kern w:val="0"/>
          <w:szCs w:val="21"/>
        </w:rPr>
        <w:t>市场监测与预警指标，空置</w:t>
      </w:r>
      <w:proofErr w:type="gramStart"/>
      <w:r w:rsidRPr="00E51F6E">
        <w:rPr>
          <w:rFonts w:ascii="微软雅黑" w:eastAsia="微软雅黑" w:hAnsi="微软雅黑" w:cs="黑体" w:hint="eastAsia"/>
          <w:color w:val="000000"/>
          <w:kern w:val="0"/>
          <w:szCs w:val="21"/>
        </w:rPr>
        <w:t>率属于</w:t>
      </w:r>
      <w:proofErr w:type="gramEnd"/>
      <w:r w:rsidRPr="00E51F6E">
        <w:rPr>
          <w:rFonts w:ascii="微软雅黑" w:eastAsia="微软雅黑" w:hAnsi="微软雅黑" w:cs="黑体" w:hint="eastAsia"/>
          <w:color w:val="000000"/>
          <w:kern w:val="0"/>
          <w:szCs w:val="21"/>
        </w:rPr>
        <w:t>供给指标。参见教材</w:t>
      </w:r>
      <w:r w:rsidRPr="00E51F6E">
        <w:rPr>
          <w:rFonts w:ascii="微软雅黑" w:eastAsia="微软雅黑" w:hAnsi="微软雅黑" w:cs="黑体" w:hint="eastAsia"/>
          <w:color w:val="000000"/>
          <w:kern w:val="0"/>
          <w:szCs w:val="21"/>
        </w:rPr>
        <w:t>P40</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某房地产开发项目总投资为</w:t>
      </w:r>
      <w:r w:rsidRPr="00E51F6E">
        <w:rPr>
          <w:rFonts w:ascii="微软雅黑" w:eastAsia="微软雅黑" w:hAnsi="微软雅黑" w:cs="黑体" w:hint="eastAsia"/>
          <w:color w:val="000000"/>
          <w:kern w:val="0"/>
          <w:szCs w:val="21"/>
        </w:rPr>
        <w:t>10000</w:t>
      </w:r>
      <w:r w:rsidRPr="00E51F6E">
        <w:rPr>
          <w:rFonts w:ascii="微软雅黑" w:eastAsia="微软雅黑" w:hAnsi="微软雅黑" w:cs="黑体" w:hint="eastAsia"/>
          <w:color w:val="000000"/>
          <w:kern w:val="0"/>
          <w:szCs w:val="21"/>
        </w:rPr>
        <w:t>万元，其中自有资金为</w:t>
      </w:r>
      <w:r w:rsidRPr="00E51F6E">
        <w:rPr>
          <w:rFonts w:ascii="微软雅黑" w:eastAsia="微软雅黑" w:hAnsi="微软雅黑" w:cs="黑体" w:hint="eastAsia"/>
          <w:color w:val="000000"/>
          <w:kern w:val="0"/>
          <w:szCs w:val="21"/>
        </w:rPr>
        <w:t>4000</w:t>
      </w:r>
      <w:r w:rsidRPr="00E51F6E">
        <w:rPr>
          <w:rFonts w:ascii="微软雅黑" w:eastAsia="微软雅黑" w:hAnsi="微软雅黑" w:cs="黑体" w:hint="eastAsia"/>
          <w:color w:val="000000"/>
          <w:kern w:val="0"/>
          <w:szCs w:val="21"/>
        </w:rPr>
        <w:t>万元，通过发行债券获得</w:t>
      </w:r>
      <w:r w:rsidRPr="00E51F6E">
        <w:rPr>
          <w:rFonts w:ascii="微软雅黑" w:eastAsia="微软雅黑" w:hAnsi="微软雅黑" w:cs="黑体" w:hint="eastAsia"/>
          <w:color w:val="000000"/>
          <w:kern w:val="0"/>
          <w:szCs w:val="21"/>
        </w:rPr>
        <w:t>2000</w:t>
      </w:r>
      <w:r w:rsidRPr="00E51F6E">
        <w:rPr>
          <w:rFonts w:ascii="微软雅黑" w:eastAsia="微软雅黑" w:hAnsi="微软雅黑" w:cs="黑体" w:hint="eastAsia"/>
          <w:color w:val="000000"/>
          <w:kern w:val="0"/>
          <w:szCs w:val="21"/>
        </w:rPr>
        <w:t>万元，其余为银行贷款，该项目开发投资杠杆率为（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A.0.40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B.0.60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C.2.50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D.5.00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【解析】本题考查的是房地产市场指标。开发投资杠杆率是指房地产开发投资与开发商投入的权益资本的比率，开发投资杠杆率</w:t>
      </w:r>
      <w:r w:rsidRPr="00E51F6E">
        <w:rPr>
          <w:rFonts w:ascii="微软雅黑" w:eastAsia="微软雅黑" w:hAnsi="微软雅黑" w:cs="黑体" w:hint="eastAsia"/>
          <w:color w:val="000000"/>
          <w:kern w:val="0"/>
          <w:szCs w:val="21"/>
        </w:rPr>
        <w:t>=10000/4000=2.5</w:t>
      </w:r>
      <w:r w:rsidRPr="00E51F6E">
        <w:rPr>
          <w:rFonts w:ascii="微软雅黑" w:eastAsia="微软雅黑" w:hAnsi="微软雅黑" w:cs="黑体" w:hint="eastAsia"/>
          <w:color w:val="000000"/>
          <w:kern w:val="0"/>
          <w:szCs w:val="21"/>
        </w:rPr>
        <w:t>。参见教</w:t>
      </w:r>
      <w:r w:rsidRPr="00E51F6E">
        <w:rPr>
          <w:rFonts w:ascii="微软雅黑" w:eastAsia="微软雅黑" w:hAnsi="微软雅黑" w:cs="黑体" w:hint="eastAsia"/>
          <w:color w:val="000000"/>
          <w:kern w:val="0"/>
          <w:szCs w:val="21"/>
        </w:rPr>
        <w:t>材</w:t>
      </w:r>
      <w:r w:rsidRPr="00E51F6E">
        <w:rPr>
          <w:rFonts w:ascii="微软雅黑" w:eastAsia="微软雅黑" w:hAnsi="微软雅黑" w:cs="黑体" w:hint="eastAsia"/>
          <w:color w:val="000000"/>
          <w:kern w:val="0"/>
          <w:szCs w:val="21"/>
        </w:rPr>
        <w:t>P43</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7.</w:t>
      </w:r>
      <w:r w:rsidRPr="00E51F6E">
        <w:rPr>
          <w:rFonts w:ascii="微软雅黑" w:eastAsia="微软雅黑" w:hAnsi="微软雅黑" w:cs="黑体" w:hint="eastAsia"/>
          <w:color w:val="000000"/>
          <w:kern w:val="0"/>
          <w:szCs w:val="21"/>
        </w:rPr>
        <w:t>下列费用中，不属于土地储备开发成本的是（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征收补偿费</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土地储备机构的人员工资</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招标中发生的费用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市政基础设施建设有关费用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【解析】本题考查的是获取土地。土地储备开发成本包括：（</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）征收、拆迁补偿费及有关税费；（</w:t>
      </w: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）收购、收回和置换过程中发生的有关补偿费用；（</w:t>
      </w: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）市政基础设施建设有关费用；（</w:t>
      </w:r>
      <w:r w:rsidRPr="00E51F6E">
        <w:rPr>
          <w:rFonts w:ascii="微软雅黑" w:eastAsia="微软雅黑" w:hAnsi="微软雅黑" w:cs="黑体" w:hint="eastAsia"/>
          <w:color w:val="000000"/>
          <w:kern w:val="0"/>
          <w:szCs w:val="21"/>
        </w:rPr>
        <w:t>4</w:t>
      </w:r>
      <w:r w:rsidRPr="00E51F6E">
        <w:rPr>
          <w:rFonts w:ascii="微软雅黑" w:eastAsia="微软雅黑" w:hAnsi="微软雅黑" w:cs="黑体" w:hint="eastAsia"/>
          <w:color w:val="000000"/>
          <w:kern w:val="0"/>
          <w:szCs w:val="21"/>
        </w:rPr>
        <w:t>）招标、拍卖和挂牌交易中发生的费用；（</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）贷款利息；（</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）土地储备开发供应过程中发生的审计、律师、工程监理等费用，不可预见费以及经政府财政和土地主管部门核准的其他支出。参见教材</w:t>
      </w:r>
      <w:r w:rsidRPr="00E51F6E">
        <w:rPr>
          <w:rFonts w:ascii="微软雅黑" w:eastAsia="微软雅黑" w:hAnsi="微软雅黑" w:cs="黑体" w:hint="eastAsia"/>
          <w:color w:val="000000"/>
          <w:kern w:val="0"/>
          <w:szCs w:val="21"/>
        </w:rPr>
        <w:t>P68</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8.</w:t>
      </w:r>
      <w:r w:rsidRPr="00E51F6E">
        <w:rPr>
          <w:rFonts w:ascii="微软雅黑" w:eastAsia="微软雅黑" w:hAnsi="微软雅黑" w:cs="黑体" w:hint="eastAsia"/>
          <w:color w:val="000000"/>
          <w:kern w:val="0"/>
          <w:szCs w:val="21"/>
        </w:rPr>
        <w:t>房地产开发项目单项工程竣工验收的组织者是（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项目施工单位</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项目设计单位</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房地产开发企业</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产品质量监督部门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【解析】本题考查的是竣工验收。单项工程竣工验收，由开发商组织承包商、设计单位、客户（使用方）、质量监督部门，正式进行竣工验收，开具竣工证书。参见教材</w:t>
      </w:r>
      <w:r w:rsidRPr="00E51F6E">
        <w:rPr>
          <w:rFonts w:ascii="微软雅黑" w:eastAsia="微软雅黑" w:hAnsi="微软雅黑" w:cs="黑体" w:hint="eastAsia"/>
          <w:color w:val="000000"/>
          <w:kern w:val="0"/>
          <w:szCs w:val="21"/>
        </w:rPr>
        <w:t>P91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9.</w:t>
      </w:r>
      <w:r w:rsidRPr="00E51F6E">
        <w:rPr>
          <w:rFonts w:ascii="微软雅黑" w:eastAsia="微软雅黑" w:hAnsi="微软雅黑" w:cs="黑体" w:hint="eastAsia"/>
          <w:color w:val="000000"/>
          <w:kern w:val="0"/>
          <w:szCs w:val="21"/>
        </w:rPr>
        <w:t>某知名房地产开发企业按高于市场上同类物业的价格对其开发的房地产项目进行定价，这种定价方法是（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领导定价法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挑战定位法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随行就市定价法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价值定价法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【解析】本题考查的是制定租售方法。领导定价法实际上是一种定价策略，处于市场领导者地位的开发商可以采用领导定价法。通常情况下，如果某公司在房地产业或同类物业</w:t>
      </w:r>
      <w:proofErr w:type="gramStart"/>
      <w:r w:rsidRPr="00E51F6E">
        <w:rPr>
          <w:rFonts w:ascii="微软雅黑" w:eastAsia="微软雅黑" w:hAnsi="微软雅黑" w:cs="黑体" w:hint="eastAsia"/>
          <w:color w:val="000000"/>
          <w:kern w:val="0"/>
          <w:szCs w:val="21"/>
        </w:rPr>
        <w:t>开发中</w:t>
      </w:r>
      <w:r w:rsidRPr="00E51F6E">
        <w:rPr>
          <w:rFonts w:ascii="微软雅黑" w:eastAsia="微软雅黑" w:hAnsi="微软雅黑" w:cs="黑体" w:hint="eastAsia"/>
          <w:color w:val="000000"/>
          <w:kern w:val="0"/>
          <w:szCs w:val="21"/>
        </w:rPr>
        <w:t>踞龙头老大</w:t>
      </w:r>
      <w:proofErr w:type="gramEnd"/>
      <w:r w:rsidRPr="00E51F6E">
        <w:rPr>
          <w:rFonts w:ascii="微软雅黑" w:eastAsia="微软雅黑" w:hAnsi="微软雅黑" w:cs="黑体" w:hint="eastAsia"/>
          <w:color w:val="000000"/>
          <w:kern w:val="0"/>
          <w:szCs w:val="21"/>
        </w:rPr>
        <w:t>地位，实力雄厚，声望极佳，就具备了采用领导定价法的条件，使其制定的价格在同类物业中</w:t>
      </w:r>
      <w:proofErr w:type="gramStart"/>
      <w:r w:rsidRPr="00E51F6E">
        <w:rPr>
          <w:rFonts w:ascii="微软雅黑" w:eastAsia="微软雅黑" w:hAnsi="微软雅黑" w:cs="黑体" w:hint="eastAsia"/>
          <w:color w:val="000000"/>
          <w:kern w:val="0"/>
          <w:szCs w:val="21"/>
        </w:rPr>
        <w:t>居较高</w:t>
      </w:r>
      <w:proofErr w:type="gramEnd"/>
      <w:r w:rsidRPr="00E51F6E">
        <w:rPr>
          <w:rFonts w:ascii="微软雅黑" w:eastAsia="微软雅黑" w:hAnsi="微软雅黑" w:cs="黑体" w:hint="eastAsia"/>
          <w:color w:val="000000"/>
          <w:kern w:val="0"/>
          <w:szCs w:val="21"/>
        </w:rPr>
        <w:t>的价位。参见教材</w:t>
      </w:r>
      <w:r w:rsidRPr="00E51F6E">
        <w:rPr>
          <w:rFonts w:ascii="微软雅黑" w:eastAsia="微软雅黑" w:hAnsi="微软雅黑" w:cs="黑体" w:hint="eastAsia"/>
          <w:color w:val="000000"/>
          <w:kern w:val="0"/>
          <w:szCs w:val="21"/>
        </w:rPr>
        <w:t>P99</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10.</w:t>
      </w:r>
      <w:r w:rsidRPr="00E51F6E">
        <w:rPr>
          <w:rFonts w:ascii="微软雅黑" w:eastAsia="微软雅黑" w:hAnsi="微软雅黑" w:cs="黑体" w:hint="eastAsia"/>
          <w:color w:val="000000"/>
          <w:kern w:val="0"/>
          <w:szCs w:val="21"/>
        </w:rPr>
        <w:t>某市</w:t>
      </w:r>
      <w:r w:rsidRPr="00E51F6E">
        <w:rPr>
          <w:rFonts w:ascii="微软雅黑" w:eastAsia="微软雅黑" w:hAnsi="微软雅黑" w:cs="黑体" w:hint="eastAsia"/>
          <w:color w:val="000000"/>
          <w:kern w:val="0"/>
          <w:szCs w:val="21"/>
        </w:rPr>
        <w:t>2016</w:t>
      </w:r>
      <w:r w:rsidRPr="00E51F6E">
        <w:rPr>
          <w:rFonts w:ascii="微软雅黑" w:eastAsia="微软雅黑" w:hAnsi="微软雅黑" w:cs="黑体" w:hint="eastAsia"/>
          <w:color w:val="000000"/>
          <w:kern w:val="0"/>
          <w:szCs w:val="21"/>
        </w:rPr>
        <w:t>年商品住宅预测销售量为</w:t>
      </w:r>
      <w:r w:rsidRPr="00E51F6E">
        <w:rPr>
          <w:rFonts w:ascii="微软雅黑" w:eastAsia="微软雅黑" w:hAnsi="微软雅黑" w:cs="黑体" w:hint="eastAsia"/>
          <w:color w:val="000000"/>
          <w:kern w:val="0"/>
          <w:szCs w:val="21"/>
        </w:rPr>
        <w:t>12</w:t>
      </w:r>
      <w:r w:rsidRPr="00E51F6E">
        <w:rPr>
          <w:rFonts w:ascii="微软雅黑" w:eastAsia="微软雅黑" w:hAnsi="微软雅黑" w:cs="黑体" w:hint="eastAsia"/>
          <w:color w:val="000000"/>
          <w:kern w:val="0"/>
          <w:szCs w:val="21"/>
        </w:rPr>
        <w:t>万套，实际销售量为</w:t>
      </w:r>
      <w:r w:rsidRPr="00E51F6E">
        <w:rPr>
          <w:rFonts w:ascii="微软雅黑" w:eastAsia="微软雅黑" w:hAnsi="微软雅黑" w:cs="黑体" w:hint="eastAsia"/>
          <w:color w:val="000000"/>
          <w:kern w:val="0"/>
          <w:szCs w:val="21"/>
        </w:rPr>
        <w:t>9</w:t>
      </w:r>
      <w:r w:rsidRPr="00E51F6E">
        <w:rPr>
          <w:rFonts w:ascii="微软雅黑" w:eastAsia="微软雅黑" w:hAnsi="微软雅黑" w:cs="黑体" w:hint="eastAsia"/>
          <w:color w:val="000000"/>
          <w:kern w:val="0"/>
          <w:szCs w:val="21"/>
        </w:rPr>
        <w:t>万套，若平滑指数取</w:t>
      </w:r>
      <w:r w:rsidRPr="00E51F6E">
        <w:rPr>
          <w:rFonts w:ascii="微软雅黑" w:eastAsia="微软雅黑" w:hAnsi="微软雅黑" w:cs="黑体" w:hint="eastAsia"/>
          <w:color w:val="000000"/>
          <w:kern w:val="0"/>
          <w:szCs w:val="21"/>
        </w:rPr>
        <w:t>0.9</w:t>
      </w:r>
      <w:r w:rsidRPr="00E51F6E">
        <w:rPr>
          <w:rFonts w:ascii="微软雅黑" w:eastAsia="微软雅黑" w:hAnsi="微软雅黑" w:cs="黑体" w:hint="eastAsia"/>
          <w:color w:val="000000"/>
          <w:kern w:val="0"/>
          <w:szCs w:val="21"/>
        </w:rPr>
        <w:t>，则用指数平滑法预测的该市</w:t>
      </w:r>
      <w:r w:rsidRPr="00E51F6E">
        <w:rPr>
          <w:rFonts w:ascii="微软雅黑" w:eastAsia="微软雅黑" w:hAnsi="微软雅黑" w:cs="黑体" w:hint="eastAsia"/>
          <w:color w:val="000000"/>
          <w:kern w:val="0"/>
          <w:szCs w:val="21"/>
        </w:rPr>
        <w:t>2017</w:t>
      </w:r>
      <w:r w:rsidRPr="00E51F6E">
        <w:rPr>
          <w:rFonts w:ascii="微软雅黑" w:eastAsia="微软雅黑" w:hAnsi="微软雅黑" w:cs="黑体" w:hint="eastAsia"/>
          <w:color w:val="000000"/>
          <w:kern w:val="0"/>
          <w:szCs w:val="21"/>
        </w:rPr>
        <w:t>年的商品住宅销售量为（　）万套。</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A.8.10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B.9.30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C.10.80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D.11.70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【解析】本题考查的是市场趋势分析。</w:t>
      </w:r>
      <w:r w:rsidRPr="00E51F6E">
        <w:rPr>
          <w:rFonts w:ascii="微软雅黑" w:eastAsia="微软雅黑" w:hAnsi="微软雅黑" w:cs="黑体" w:hint="eastAsia"/>
          <w:color w:val="000000"/>
          <w:kern w:val="0"/>
          <w:szCs w:val="21"/>
        </w:rPr>
        <w:t>2017</w:t>
      </w:r>
      <w:r w:rsidRPr="00E51F6E">
        <w:rPr>
          <w:rFonts w:ascii="微软雅黑" w:eastAsia="微软雅黑" w:hAnsi="微软雅黑" w:cs="黑体" w:hint="eastAsia"/>
          <w:color w:val="000000"/>
          <w:kern w:val="0"/>
          <w:szCs w:val="21"/>
        </w:rPr>
        <w:t>年商品住宅预测销售量</w:t>
      </w:r>
      <w:r w:rsidRPr="00E51F6E">
        <w:rPr>
          <w:rFonts w:ascii="微软雅黑" w:eastAsia="微软雅黑" w:hAnsi="微软雅黑" w:cs="黑体" w:hint="eastAsia"/>
          <w:color w:val="000000"/>
          <w:kern w:val="0"/>
          <w:szCs w:val="21"/>
        </w:rPr>
        <w:t>=2016</w:t>
      </w:r>
      <w:r w:rsidRPr="00E51F6E">
        <w:rPr>
          <w:rFonts w:ascii="微软雅黑" w:eastAsia="微软雅黑" w:hAnsi="微软雅黑" w:cs="黑体" w:hint="eastAsia"/>
          <w:color w:val="000000"/>
          <w:kern w:val="0"/>
          <w:szCs w:val="21"/>
        </w:rPr>
        <w:t>年商品住宅实际销售量×平滑指数</w:t>
      </w:r>
      <w:r w:rsidRPr="00E51F6E">
        <w:rPr>
          <w:rFonts w:ascii="微软雅黑" w:eastAsia="微软雅黑" w:hAnsi="微软雅黑" w:cs="黑体" w:hint="eastAsia"/>
          <w:color w:val="000000"/>
          <w:kern w:val="0"/>
          <w:szCs w:val="21"/>
        </w:rPr>
        <w:t>+2016</w:t>
      </w:r>
      <w:r w:rsidRPr="00E51F6E">
        <w:rPr>
          <w:rFonts w:ascii="微软雅黑" w:eastAsia="微软雅黑" w:hAnsi="微软雅黑" w:cs="黑体" w:hint="eastAsia"/>
          <w:color w:val="000000"/>
          <w:kern w:val="0"/>
          <w:szCs w:val="21"/>
        </w:rPr>
        <w:t>年商品住宅预测销售量×（</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平滑指数）</w:t>
      </w:r>
      <w:r w:rsidRPr="00E51F6E">
        <w:rPr>
          <w:rFonts w:ascii="微软雅黑" w:eastAsia="微软雅黑" w:hAnsi="微软雅黑" w:cs="黑体" w:hint="eastAsia"/>
          <w:color w:val="000000"/>
          <w:kern w:val="0"/>
          <w:szCs w:val="21"/>
        </w:rPr>
        <w:t>=9</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0.9+12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0.1=9.3</w:t>
      </w:r>
      <w:r w:rsidRPr="00E51F6E">
        <w:rPr>
          <w:rFonts w:ascii="微软雅黑" w:eastAsia="微软雅黑" w:hAnsi="微软雅黑" w:cs="黑体" w:hint="eastAsia"/>
          <w:color w:val="000000"/>
          <w:kern w:val="0"/>
          <w:szCs w:val="21"/>
        </w:rPr>
        <w:t>。参见教材</w:t>
      </w:r>
      <w:r w:rsidRPr="00E51F6E">
        <w:rPr>
          <w:rFonts w:ascii="微软雅黑" w:eastAsia="微软雅黑" w:hAnsi="微软雅黑" w:cs="黑体" w:hint="eastAsia"/>
          <w:color w:val="000000"/>
          <w:kern w:val="0"/>
          <w:szCs w:val="21"/>
        </w:rPr>
        <w:t>P116</w:t>
      </w:r>
      <w:r w:rsidRPr="00E51F6E">
        <w:rPr>
          <w:rFonts w:ascii="微软雅黑" w:eastAsia="微软雅黑" w:hAnsi="微软雅黑" w:cs="黑体" w:hint="eastAsia"/>
          <w:color w:val="000000"/>
          <w:kern w:val="0"/>
          <w:szCs w:val="21"/>
        </w:rPr>
        <w:t>。</w:t>
      </w:r>
    </w:p>
    <w:p w:rsidR="0014315C" w:rsidRPr="00E51F6E" w:rsidRDefault="00642AC9" w:rsidP="00E51F6E">
      <w:pPr>
        <w:widowControl/>
        <w:numPr>
          <w:ilvl w:val="0"/>
          <w:numId w:val="1"/>
        </w:numPr>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下列目标市场选择模式中，能有效分散企业风险的是（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市场集中化模式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选择专业化模式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产品专业化模式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市场专业化模式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【解析】本题考查的是目标市场选择。选择专业化，企业有选择地进入几个不同的细分市场。从客观上讲，每个细分市场都具有吸引力，且符合企业的目</w:t>
      </w:r>
      <w:r w:rsidRPr="00E51F6E">
        <w:rPr>
          <w:rFonts w:ascii="微软雅黑" w:eastAsia="微软雅黑" w:hAnsi="微软雅黑" w:cs="黑体" w:hint="eastAsia"/>
          <w:color w:val="000000"/>
          <w:kern w:val="0"/>
          <w:szCs w:val="21"/>
        </w:rPr>
        <w:t>标和资源水平。这些细分市场之间很少或根本不发生联系，但在每个细分市场上都可盈利。这种多细分市场覆盖策略能分散企业的风险。因为即使其中一个细分市场丧失了吸引力，企业还可以在其他细分市场上继续盈利。参见教材</w:t>
      </w:r>
      <w:r w:rsidRPr="00E51F6E">
        <w:rPr>
          <w:rFonts w:ascii="微软雅黑" w:eastAsia="微软雅黑" w:hAnsi="微软雅黑" w:cs="黑体" w:hint="eastAsia"/>
          <w:color w:val="000000"/>
          <w:kern w:val="0"/>
          <w:szCs w:val="21"/>
        </w:rPr>
        <w:t>P121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12.</w:t>
      </w:r>
      <w:r w:rsidRPr="00E51F6E">
        <w:rPr>
          <w:rFonts w:ascii="微软雅黑" w:eastAsia="微软雅黑" w:hAnsi="微软雅黑" w:cs="黑体" w:hint="eastAsia"/>
          <w:color w:val="000000"/>
          <w:kern w:val="0"/>
          <w:szCs w:val="21"/>
        </w:rPr>
        <w:t>某写字楼项目建成后引进</w:t>
      </w:r>
      <w:proofErr w:type="gramStart"/>
      <w:r w:rsidRPr="00E51F6E">
        <w:rPr>
          <w:rFonts w:ascii="微软雅黑" w:eastAsia="微软雅黑" w:hAnsi="微软雅黑" w:cs="黑体" w:hint="eastAsia"/>
          <w:color w:val="000000"/>
          <w:kern w:val="0"/>
          <w:szCs w:val="21"/>
        </w:rPr>
        <w:t>一</w:t>
      </w:r>
      <w:proofErr w:type="gramEnd"/>
      <w:r w:rsidRPr="00E51F6E">
        <w:rPr>
          <w:rFonts w:ascii="微软雅黑" w:eastAsia="微软雅黑" w:hAnsi="微软雅黑" w:cs="黑体" w:hint="eastAsia"/>
          <w:color w:val="000000"/>
          <w:kern w:val="0"/>
          <w:szCs w:val="21"/>
        </w:rPr>
        <w:t>知名物业服务企业提供物业管理服务，该项目采用的市场定位战略是（　）差别化战略。</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形象</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产品</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人员</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服务</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【解析】本题考查的是市场定位。服务差别化战略，即向目标市场提供与竞争者不同的优质服务。企业的竞争力越好地体现在对客户的服务上，市场差别化就越容易实现。参见教材</w:t>
      </w:r>
      <w:r w:rsidRPr="00E51F6E">
        <w:rPr>
          <w:rFonts w:ascii="微软雅黑" w:eastAsia="微软雅黑" w:hAnsi="微软雅黑" w:cs="黑体" w:hint="eastAsia"/>
          <w:color w:val="000000"/>
          <w:kern w:val="0"/>
          <w:szCs w:val="21"/>
        </w:rPr>
        <w:t>P122</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13.</w:t>
      </w:r>
      <w:r w:rsidRPr="00E51F6E">
        <w:rPr>
          <w:rFonts w:ascii="微软雅黑" w:eastAsia="微软雅黑" w:hAnsi="微软雅黑" w:cs="黑体" w:hint="eastAsia"/>
          <w:color w:val="000000"/>
          <w:kern w:val="0"/>
          <w:szCs w:val="21"/>
        </w:rPr>
        <w:t>下列影响消费者购买行为的因素中，属于社会文化因素的是（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社会阶层</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信念和态度</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生活方式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经济状况</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影响消费者购买行为的主要因素。影响消费者购买行为的社会文化因素包括文化、亚文化、社会阶层、相关群体和家庭；信念和态度属于心理因素；经济状况和生活方式属于个人因素。参见教材</w:t>
      </w:r>
      <w:r w:rsidRPr="00E51F6E">
        <w:rPr>
          <w:rFonts w:ascii="微软雅黑" w:eastAsia="微软雅黑" w:hAnsi="微软雅黑" w:cs="黑体" w:hint="eastAsia"/>
          <w:color w:val="000000"/>
          <w:kern w:val="0"/>
          <w:szCs w:val="21"/>
        </w:rPr>
        <w:t>P129</w:t>
      </w:r>
      <w:r w:rsidRPr="00E51F6E">
        <w:rPr>
          <w:rFonts w:ascii="微软雅黑" w:eastAsia="微软雅黑" w:hAnsi="微软雅黑" w:cs="黑体" w:hint="eastAsia"/>
          <w:color w:val="000000"/>
          <w:kern w:val="0"/>
          <w:szCs w:val="21"/>
        </w:rPr>
        <w:t>。</w:t>
      </w:r>
    </w:p>
    <w:p w:rsidR="0014315C" w:rsidRPr="00E51F6E" w:rsidRDefault="00642AC9" w:rsidP="00E51F6E">
      <w:pPr>
        <w:widowControl/>
        <w:numPr>
          <w:ilvl w:val="0"/>
          <w:numId w:val="2"/>
        </w:numPr>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在</w:t>
      </w:r>
      <w:r w:rsidRPr="00E51F6E">
        <w:rPr>
          <w:rFonts w:ascii="微软雅黑" w:eastAsia="微软雅黑" w:hAnsi="微软雅黑" w:cs="黑体" w:hint="eastAsia"/>
          <w:color w:val="000000"/>
          <w:kern w:val="0"/>
          <w:szCs w:val="21"/>
        </w:rPr>
        <w:t>房地产投资的“购买—持有出租—出售”模式中，现金流出不包括（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购买成本</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土地取得费用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装修费用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运营成本</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房地产投资活动中的现金流量。购买—持有出租—出售模式下，现金流出包括购买成本和购买税费、装修费用、运营成本和转售税费，现金流入包括出租收入和持有期末的转售收入。参见教材</w:t>
      </w:r>
      <w:r w:rsidRPr="00E51F6E">
        <w:rPr>
          <w:rFonts w:ascii="微软雅黑" w:eastAsia="微软雅黑" w:hAnsi="微软雅黑" w:cs="黑体" w:hint="eastAsia"/>
          <w:color w:val="000000"/>
          <w:kern w:val="0"/>
          <w:szCs w:val="21"/>
        </w:rPr>
        <w:t>P148</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15.</w:t>
      </w:r>
      <w:r w:rsidRPr="00E51F6E">
        <w:rPr>
          <w:rFonts w:ascii="微软雅黑" w:eastAsia="微软雅黑" w:hAnsi="微软雅黑" w:cs="黑体" w:hint="eastAsia"/>
          <w:color w:val="000000"/>
          <w:kern w:val="0"/>
          <w:szCs w:val="21"/>
        </w:rPr>
        <w:t>某笔贷款按月、季、半年计息的利息总额分别为</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1</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3</w:t>
      </w:r>
      <w:r w:rsidRPr="00E51F6E">
        <w:rPr>
          <w:rFonts w:ascii="微软雅黑" w:eastAsia="微软雅黑" w:hAnsi="微软雅黑" w:cs="黑体" w:hint="eastAsia"/>
          <w:color w:val="000000"/>
          <w:kern w:val="0"/>
          <w:szCs w:val="21"/>
        </w:rPr>
        <w:t>，下列关系中正确的是（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A.I</w:t>
      </w:r>
      <w:r w:rsidRPr="00E51F6E">
        <w:rPr>
          <w:rFonts w:ascii="微软雅黑" w:eastAsia="微软雅黑" w:hAnsi="微软雅黑" w:cs="黑体" w:hint="eastAsia"/>
          <w:color w:val="000000"/>
          <w:kern w:val="0"/>
          <w:szCs w:val="21"/>
          <w:vertAlign w:val="subscript"/>
        </w:rPr>
        <w:t>3</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1</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B.I</w:t>
      </w:r>
      <w:r w:rsidRPr="00E51F6E">
        <w:rPr>
          <w:rFonts w:ascii="微软雅黑" w:eastAsia="微软雅黑" w:hAnsi="微软雅黑" w:cs="黑体" w:hint="eastAsia"/>
          <w:color w:val="000000"/>
          <w:kern w:val="0"/>
          <w:szCs w:val="21"/>
          <w:vertAlign w:val="subscript"/>
        </w:rPr>
        <w:t>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3</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1</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C.I</w:t>
      </w:r>
      <w:r w:rsidRPr="00E51F6E">
        <w:rPr>
          <w:rFonts w:ascii="微软雅黑" w:eastAsia="微软雅黑" w:hAnsi="微软雅黑" w:cs="黑体" w:hint="eastAsia"/>
          <w:color w:val="000000"/>
          <w:kern w:val="0"/>
          <w:szCs w:val="21"/>
          <w:vertAlign w:val="subscript"/>
        </w:rPr>
        <w:t>1</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3</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2</w:t>
      </w:r>
    </w:p>
    <w:p w:rsidR="0014315C" w:rsidRPr="00E51F6E" w:rsidRDefault="00642AC9">
      <w:pPr>
        <w:widowControl/>
        <w:rPr>
          <w:rFonts w:ascii="微软雅黑" w:eastAsia="微软雅黑" w:hAnsi="微软雅黑" w:cs="黑体"/>
          <w:color w:val="000000"/>
          <w:kern w:val="0"/>
          <w:szCs w:val="21"/>
          <w:vertAlign w:val="subscript"/>
        </w:rPr>
      </w:pPr>
      <w:r w:rsidRPr="00E51F6E">
        <w:rPr>
          <w:rFonts w:ascii="微软雅黑" w:eastAsia="微软雅黑" w:hAnsi="微软雅黑" w:cs="黑体" w:hint="eastAsia"/>
          <w:color w:val="000000"/>
          <w:kern w:val="0"/>
          <w:szCs w:val="21"/>
        </w:rPr>
        <w:t>D.I</w:t>
      </w:r>
      <w:r w:rsidRPr="00E51F6E">
        <w:rPr>
          <w:rFonts w:ascii="微软雅黑" w:eastAsia="微软雅黑" w:hAnsi="微软雅黑" w:cs="黑体" w:hint="eastAsia"/>
          <w:color w:val="000000"/>
          <w:kern w:val="0"/>
          <w:szCs w:val="21"/>
          <w:vertAlign w:val="subscript"/>
        </w:rPr>
        <w:t>1</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I</w:t>
      </w:r>
      <w:r w:rsidRPr="00E51F6E">
        <w:rPr>
          <w:rFonts w:ascii="微软雅黑" w:eastAsia="微软雅黑" w:hAnsi="微软雅黑" w:cs="黑体" w:hint="eastAsia"/>
          <w:color w:val="000000"/>
          <w:kern w:val="0"/>
          <w:szCs w:val="21"/>
          <w:vertAlign w:val="subscript"/>
        </w:rPr>
        <w:t>3</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【解析】本题考查的是名义利率与实际利率。名义利率越大，计息周期越短，名义利率与实际利率的差异就越大。参见教材</w:t>
      </w:r>
      <w:r w:rsidRPr="00E51F6E">
        <w:rPr>
          <w:rFonts w:ascii="微软雅黑" w:eastAsia="微软雅黑" w:hAnsi="微软雅黑" w:cs="黑体" w:hint="eastAsia"/>
          <w:color w:val="000000"/>
          <w:kern w:val="0"/>
          <w:szCs w:val="21"/>
        </w:rPr>
        <w:t>P156</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16.</w:t>
      </w:r>
      <w:r w:rsidRPr="00E51F6E">
        <w:rPr>
          <w:rFonts w:ascii="微软雅黑" w:eastAsia="微软雅黑" w:hAnsi="微软雅黑" w:cs="黑体" w:hint="eastAsia"/>
          <w:color w:val="000000"/>
          <w:kern w:val="0"/>
          <w:szCs w:val="21"/>
        </w:rPr>
        <w:t>若商业性住房抵押贷款、住房公积金贷款的年利率分别为</w:t>
      </w:r>
      <w:r w:rsidRPr="00E51F6E">
        <w:rPr>
          <w:rFonts w:ascii="微软雅黑" w:eastAsia="微软雅黑" w:hAnsi="微软雅黑" w:cs="黑体" w:hint="eastAsia"/>
          <w:color w:val="000000"/>
          <w:kern w:val="0"/>
          <w:szCs w:val="21"/>
        </w:rPr>
        <w:t>8.7%</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，均按月计息，银行的年存款利率为</w:t>
      </w:r>
      <w:r w:rsidRPr="00E51F6E">
        <w:rPr>
          <w:rFonts w:ascii="微软雅黑" w:eastAsia="微软雅黑" w:hAnsi="微软雅黑" w:cs="黑体" w:hint="eastAsia"/>
          <w:color w:val="000000"/>
          <w:kern w:val="0"/>
          <w:szCs w:val="21"/>
        </w:rPr>
        <w:t>3.5%</w:t>
      </w:r>
      <w:r w:rsidRPr="00E51F6E">
        <w:rPr>
          <w:rFonts w:ascii="微软雅黑" w:eastAsia="微软雅黑" w:hAnsi="微软雅黑" w:cs="黑体" w:hint="eastAsia"/>
          <w:color w:val="000000"/>
          <w:kern w:val="0"/>
          <w:szCs w:val="21"/>
        </w:rPr>
        <w:t>，则商业性住房抵押贷款与住房公积金贷款二者的实际年利率差是（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A.1.50%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B.3.57%</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C.3.70%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D.3.94%</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【解析】本题考查的是名义利率与实际利率。商业性住房抵押贷款的实际年利率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1+8.7%/12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vertAlign w:val="superscript"/>
        </w:rPr>
        <w:t>12</w:t>
      </w:r>
      <w:r w:rsidRPr="00E51F6E">
        <w:rPr>
          <w:rFonts w:ascii="微软雅黑" w:eastAsia="微软雅黑" w:hAnsi="微软雅黑" w:cs="黑体" w:hint="eastAsia"/>
          <w:color w:val="000000"/>
          <w:kern w:val="0"/>
          <w:szCs w:val="21"/>
        </w:rPr>
        <w:t>-1=9.055%</w:t>
      </w:r>
      <w:r w:rsidRPr="00E51F6E">
        <w:rPr>
          <w:rFonts w:ascii="微软雅黑" w:eastAsia="微软雅黑" w:hAnsi="微软雅黑" w:cs="黑体" w:hint="eastAsia"/>
          <w:color w:val="000000"/>
          <w:kern w:val="0"/>
          <w:szCs w:val="21"/>
        </w:rPr>
        <w:t>，住房公积金贷款的年实际利率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1+5%/12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vertAlign w:val="superscript"/>
        </w:rPr>
        <w:t>12</w:t>
      </w:r>
      <w:r w:rsidRPr="00E51F6E">
        <w:rPr>
          <w:rFonts w:ascii="微软雅黑" w:eastAsia="微软雅黑" w:hAnsi="微软雅黑" w:cs="黑体" w:hint="eastAsia"/>
          <w:color w:val="000000"/>
          <w:kern w:val="0"/>
          <w:szCs w:val="21"/>
        </w:rPr>
        <w:t>-1=5.116%</w:t>
      </w:r>
      <w:r w:rsidRPr="00E51F6E">
        <w:rPr>
          <w:rFonts w:ascii="微软雅黑" w:eastAsia="微软雅黑" w:hAnsi="微软雅黑" w:cs="黑体" w:hint="eastAsia"/>
          <w:color w:val="000000"/>
          <w:kern w:val="0"/>
          <w:szCs w:val="21"/>
        </w:rPr>
        <w:t>，两者的差额为：</w:t>
      </w:r>
      <w:r w:rsidRPr="00E51F6E">
        <w:rPr>
          <w:rFonts w:ascii="微软雅黑" w:eastAsia="微软雅黑" w:hAnsi="微软雅黑" w:cs="黑体" w:hint="eastAsia"/>
          <w:color w:val="000000"/>
          <w:kern w:val="0"/>
          <w:szCs w:val="21"/>
        </w:rPr>
        <w:t>9.055%-5.116%=3.939%</w:t>
      </w:r>
      <w:r w:rsidRPr="00E51F6E">
        <w:rPr>
          <w:rFonts w:ascii="微软雅黑" w:eastAsia="微软雅黑" w:hAnsi="微软雅黑" w:cs="黑体" w:hint="eastAsia"/>
          <w:color w:val="000000"/>
          <w:kern w:val="0"/>
          <w:szCs w:val="21"/>
        </w:rPr>
        <w:t>。参见教材</w:t>
      </w:r>
      <w:r w:rsidRPr="00E51F6E">
        <w:rPr>
          <w:rFonts w:ascii="微软雅黑" w:eastAsia="微软雅黑" w:hAnsi="微软雅黑" w:cs="黑体" w:hint="eastAsia"/>
          <w:color w:val="000000"/>
          <w:kern w:val="0"/>
          <w:szCs w:val="21"/>
        </w:rPr>
        <w:t>P156</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17.</w:t>
      </w:r>
      <w:r w:rsidRPr="00E51F6E">
        <w:rPr>
          <w:rFonts w:ascii="微软雅黑" w:eastAsia="微软雅黑" w:hAnsi="微软雅黑" w:cs="黑体" w:hint="eastAsia"/>
          <w:color w:val="000000"/>
          <w:kern w:val="0"/>
          <w:szCs w:val="21"/>
        </w:rPr>
        <w:t>在下列现金流量图中，已知</w:t>
      </w: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F</w:t>
      </w:r>
      <w:r w:rsidRPr="00E51F6E">
        <w:rPr>
          <w:rFonts w:ascii="微软雅黑" w:eastAsia="微软雅黑" w:hAnsi="微软雅黑" w:cs="黑体" w:hint="eastAsia"/>
          <w:color w:val="000000"/>
          <w:kern w:val="0"/>
          <w:szCs w:val="21"/>
        </w:rPr>
        <w:t>和</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，则</w:t>
      </w:r>
      <w:r w:rsidRPr="00E51F6E">
        <w:rPr>
          <w:rFonts w:ascii="微软雅黑" w:eastAsia="微软雅黑" w:hAnsi="微软雅黑" w:cs="黑体" w:hint="eastAsia"/>
          <w:color w:val="000000"/>
          <w:kern w:val="0"/>
          <w:szCs w:val="21"/>
        </w:rPr>
        <w:t>P=</w:t>
      </w:r>
      <w:r w:rsidRPr="00E51F6E">
        <w:rPr>
          <w:rFonts w:ascii="微软雅黑" w:eastAsia="微软雅黑" w:hAnsi="微软雅黑" w:cs="黑体" w:hint="eastAsia"/>
          <w:color w:val="000000"/>
          <w:kern w:val="0"/>
          <w:szCs w:val="21"/>
        </w:rPr>
        <w:t>（　）。</w:t>
      </w:r>
    </w:p>
    <w:tbl>
      <w:tblPr>
        <w:tblpPr w:leftFromText="45" w:rightFromText="45" w:vertAnchor="text"/>
        <w:tblW w:w="26" w:type="dxa"/>
        <w:tblCellSpacing w:w="0" w:type="dxa"/>
        <w:tblLayout w:type="fixed"/>
        <w:tblCellMar>
          <w:left w:w="0" w:type="dxa"/>
          <w:right w:w="0" w:type="dxa"/>
        </w:tblCellMar>
        <w:tblLook w:val="04A0"/>
      </w:tblPr>
      <w:tblGrid>
        <w:gridCol w:w="20"/>
        <w:gridCol w:w="20"/>
      </w:tblGrid>
      <w:tr w:rsidR="0014315C" w:rsidRPr="00E51F6E">
        <w:trPr>
          <w:tblCellSpacing w:w="0" w:type="dxa"/>
        </w:trPr>
        <w:tc>
          <w:tcPr>
            <w:tcW w:w="6" w:type="dxa"/>
            <w:vAlign w:val="center"/>
          </w:tcPr>
          <w:p w:rsidR="0014315C" w:rsidRPr="00E51F6E" w:rsidRDefault="0014315C">
            <w:pPr>
              <w:widowControl/>
              <w:jc w:val="left"/>
              <w:rPr>
                <w:rFonts w:ascii="微软雅黑" w:eastAsia="微软雅黑" w:hAnsi="微软雅黑" w:cs="黑体"/>
                <w:kern w:val="0"/>
                <w:szCs w:val="21"/>
              </w:rPr>
            </w:pPr>
          </w:p>
        </w:tc>
        <w:tc>
          <w:tcPr>
            <w:tcW w:w="20" w:type="dxa"/>
            <w:vAlign w:val="center"/>
          </w:tcPr>
          <w:p w:rsidR="0014315C" w:rsidRPr="00E51F6E" w:rsidRDefault="0014315C">
            <w:pPr>
              <w:widowControl/>
              <w:jc w:val="left"/>
              <w:rPr>
                <w:rFonts w:ascii="微软雅黑" w:eastAsia="微软雅黑" w:hAnsi="微软雅黑" w:cs="黑体"/>
                <w:kern w:val="0"/>
                <w:szCs w:val="21"/>
              </w:rPr>
            </w:pPr>
          </w:p>
        </w:tc>
      </w:tr>
    </w:tbl>
    <w:p w:rsidR="0014315C" w:rsidRPr="00E51F6E" w:rsidRDefault="00642AC9">
      <w:pPr>
        <w:widowControl/>
        <w:jc w:val="left"/>
        <w:rPr>
          <w:rFonts w:ascii="微软雅黑" w:eastAsia="微软雅黑" w:hAnsi="微软雅黑" w:cs="黑体"/>
          <w:kern w:val="0"/>
          <w:szCs w:val="21"/>
        </w:rPr>
      </w:pPr>
      <w:r w:rsidRPr="00E51F6E">
        <w:rPr>
          <w:rFonts w:ascii="微软雅黑" w:eastAsia="微软雅黑" w:hAnsi="微软雅黑" w:cs="黑体" w:hint="eastAsia"/>
          <w:noProof/>
          <w:kern w:val="0"/>
          <w:szCs w:val="21"/>
        </w:rPr>
        <w:drawing>
          <wp:inline distT="0" distB="0" distL="114300" distR="114300">
            <wp:extent cx="2981325" cy="1152525"/>
            <wp:effectExtent l="0" t="0" r="952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cstate="print"/>
                    <a:stretch>
                      <a:fillRect/>
                    </a:stretch>
                  </pic:blipFill>
                  <pic:spPr>
                    <a:xfrm>
                      <a:off x="0" y="0"/>
                      <a:ext cx="2981325" cy="1152525"/>
                    </a:xfrm>
                    <a:prstGeom prst="rect">
                      <a:avLst/>
                    </a:prstGeom>
                    <a:noFill/>
                    <a:ln w="9525">
                      <a:noFill/>
                    </a:ln>
                  </pic:spPr>
                </pic:pic>
              </a:graphicData>
            </a:graphic>
          </wp:inline>
        </w:drawing>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P/A</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+F</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P/A</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+F</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P/A</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+F</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P/A</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+F</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【解析】本题考查的是复利计算。</w:t>
      </w: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P/A</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）计算得到第一期期末的现值，然后通过终值折算为现值公式将第一年年末的值折算到期初，即为：</w:t>
      </w: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P/A</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P/F</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）；最后套用已知终值求现值公式将第六期期末的终值折算到期初。参见教材</w:t>
      </w:r>
      <w:r w:rsidRPr="00E51F6E">
        <w:rPr>
          <w:rFonts w:ascii="微软雅黑" w:eastAsia="微软雅黑" w:hAnsi="微软雅黑" w:cs="黑体" w:hint="eastAsia"/>
          <w:color w:val="000000"/>
          <w:kern w:val="0"/>
          <w:szCs w:val="21"/>
        </w:rPr>
        <w:t>P158</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159</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18.</w:t>
      </w:r>
      <w:r w:rsidRPr="00E51F6E">
        <w:rPr>
          <w:rFonts w:ascii="微软雅黑" w:eastAsia="微软雅黑" w:hAnsi="微软雅黑" w:cs="黑体" w:hint="eastAsia"/>
          <w:color w:val="000000"/>
          <w:kern w:val="0"/>
          <w:szCs w:val="21"/>
        </w:rPr>
        <w:t>某家庭向银行申请了一笔数额为</w:t>
      </w:r>
      <w:r w:rsidRPr="00E51F6E">
        <w:rPr>
          <w:rFonts w:ascii="微软雅黑" w:eastAsia="微软雅黑" w:hAnsi="微软雅黑" w:cs="黑体" w:hint="eastAsia"/>
          <w:color w:val="000000"/>
          <w:kern w:val="0"/>
          <w:szCs w:val="21"/>
        </w:rPr>
        <w:t>50</w:t>
      </w:r>
      <w:r w:rsidRPr="00E51F6E">
        <w:rPr>
          <w:rFonts w:ascii="微软雅黑" w:eastAsia="微软雅黑" w:hAnsi="微软雅黑" w:cs="黑体" w:hint="eastAsia"/>
          <w:color w:val="000000"/>
          <w:kern w:val="0"/>
          <w:szCs w:val="21"/>
        </w:rPr>
        <w:t>万元、年利率为</w:t>
      </w:r>
      <w:r w:rsidRPr="00E51F6E">
        <w:rPr>
          <w:rFonts w:ascii="微软雅黑" w:eastAsia="微软雅黑" w:hAnsi="微软雅黑" w:cs="黑体" w:hint="eastAsia"/>
          <w:color w:val="000000"/>
          <w:kern w:val="0"/>
          <w:szCs w:val="21"/>
        </w:rPr>
        <w:t>8.7%</w:t>
      </w:r>
      <w:r w:rsidRPr="00E51F6E">
        <w:rPr>
          <w:rFonts w:ascii="微软雅黑" w:eastAsia="微软雅黑" w:hAnsi="微软雅黑" w:cs="黑体" w:hint="eastAsia"/>
          <w:color w:val="000000"/>
          <w:kern w:val="0"/>
          <w:szCs w:val="21"/>
        </w:rPr>
        <w:t>、期限为</w:t>
      </w:r>
      <w:r w:rsidRPr="00E51F6E">
        <w:rPr>
          <w:rFonts w:ascii="微软雅黑" w:eastAsia="微软雅黑" w:hAnsi="微软雅黑" w:cs="黑体" w:hint="eastAsia"/>
          <w:color w:val="000000"/>
          <w:kern w:val="0"/>
          <w:szCs w:val="21"/>
        </w:rPr>
        <w:t>10</w:t>
      </w:r>
      <w:r w:rsidRPr="00E51F6E">
        <w:rPr>
          <w:rFonts w:ascii="微软雅黑" w:eastAsia="微软雅黑" w:hAnsi="微软雅黑" w:cs="黑体" w:hint="eastAsia"/>
          <w:color w:val="000000"/>
          <w:kern w:val="0"/>
          <w:szCs w:val="21"/>
        </w:rPr>
        <w:t>年、按月等额还本付息的个人住房贷款。若月还款为家庭月收入的</w:t>
      </w:r>
      <w:r w:rsidRPr="00E51F6E">
        <w:rPr>
          <w:rFonts w:ascii="微软雅黑" w:eastAsia="微软雅黑" w:hAnsi="微软雅黑" w:cs="黑体" w:hint="eastAsia"/>
          <w:color w:val="000000"/>
          <w:kern w:val="0"/>
          <w:szCs w:val="21"/>
        </w:rPr>
        <w:t>30%</w:t>
      </w:r>
      <w:r w:rsidRPr="00E51F6E">
        <w:rPr>
          <w:rFonts w:ascii="微软雅黑" w:eastAsia="微软雅黑" w:hAnsi="微软雅黑" w:cs="黑体" w:hint="eastAsia"/>
          <w:color w:val="000000"/>
          <w:kern w:val="0"/>
          <w:szCs w:val="21"/>
        </w:rPr>
        <w:t>，则该家庭的年收入为（　）万元。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A.16.79</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B.18.12</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C.25.01</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D.31.17</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【解析】本题考查的是复利计算。月还款额</w:t>
      </w:r>
      <w:r w:rsidRPr="00E51F6E">
        <w:rPr>
          <w:rFonts w:ascii="微软雅黑" w:eastAsia="微软雅黑" w:hAnsi="微软雅黑" w:cs="黑体" w:hint="eastAsia"/>
          <w:color w:val="000000"/>
          <w:kern w:val="0"/>
          <w:szCs w:val="21"/>
        </w:rPr>
        <w:t>A=P</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0014315C" w:rsidRPr="00E51F6E">
        <w:rPr>
          <w:rFonts w:ascii="微软雅黑" w:eastAsia="微软雅黑" w:hAnsi="微软雅黑" w:cs="黑体" w:hint="eastAsia"/>
          <w:color w:val="000000"/>
          <w:kern w:val="0"/>
          <w:position w:val="-28"/>
          <w:szCs w:val="21"/>
        </w:rPr>
        <w:object w:dxaOrig="1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3pt" o:ole="">
            <v:imagedata r:id="rId9" o:title=""/>
          </v:shape>
          <o:OLEObject Type="Embed" ProgID="Equation.3" ShapeID="_x0000_i1025" DrawAspect="Content" ObjectID="_1596532102" r:id="rId10"/>
        </w:object>
      </w:r>
      <w:r w:rsidRPr="00E51F6E">
        <w:rPr>
          <w:rFonts w:ascii="微软雅黑" w:eastAsia="微软雅黑" w:hAnsi="微软雅黑" w:cs="黑体" w:hint="eastAsia"/>
          <w:color w:val="000000"/>
          <w:kern w:val="0"/>
          <w:szCs w:val="21"/>
        </w:rPr>
        <w:t>=50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8.7%/12+50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8.7%/12/[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1+8.7%/12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vertAlign w:val="superscript"/>
        </w:rPr>
        <w:t>120</w:t>
      </w:r>
      <w:r w:rsidRPr="00E51F6E">
        <w:rPr>
          <w:rFonts w:ascii="微软雅黑" w:eastAsia="微软雅黑" w:hAnsi="微软雅黑" w:cs="黑体" w:hint="eastAsia"/>
          <w:color w:val="000000"/>
          <w:kern w:val="0"/>
          <w:szCs w:val="21"/>
        </w:rPr>
        <w:t>-1]=6252.90</w:t>
      </w:r>
      <w:r w:rsidRPr="00E51F6E">
        <w:rPr>
          <w:rFonts w:ascii="微软雅黑" w:eastAsia="微软雅黑" w:hAnsi="微软雅黑" w:cs="黑体" w:hint="eastAsia"/>
          <w:color w:val="000000"/>
          <w:kern w:val="0"/>
          <w:szCs w:val="21"/>
        </w:rPr>
        <w:t>元，年收入</w:t>
      </w:r>
      <w:r w:rsidRPr="00E51F6E">
        <w:rPr>
          <w:rFonts w:ascii="微软雅黑" w:eastAsia="微软雅黑" w:hAnsi="微软雅黑" w:cs="黑体" w:hint="eastAsia"/>
          <w:color w:val="000000"/>
          <w:kern w:val="0"/>
          <w:szCs w:val="21"/>
        </w:rPr>
        <w:t>=6252.90/30%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12=25.01</w:t>
      </w:r>
      <w:r w:rsidRPr="00E51F6E">
        <w:rPr>
          <w:rFonts w:ascii="微软雅黑" w:eastAsia="微软雅黑" w:hAnsi="微软雅黑" w:cs="黑体" w:hint="eastAsia"/>
          <w:color w:val="000000"/>
          <w:kern w:val="0"/>
          <w:szCs w:val="21"/>
        </w:rPr>
        <w:t>万元。参见教材</w:t>
      </w:r>
      <w:r w:rsidRPr="00E51F6E">
        <w:rPr>
          <w:rFonts w:ascii="微软雅黑" w:eastAsia="微软雅黑" w:hAnsi="微软雅黑" w:cs="黑体" w:hint="eastAsia"/>
          <w:color w:val="000000"/>
          <w:kern w:val="0"/>
          <w:szCs w:val="21"/>
        </w:rPr>
        <w:t>P158</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19.</w:t>
      </w:r>
      <w:r w:rsidRPr="00E51F6E">
        <w:rPr>
          <w:rFonts w:ascii="微软雅黑" w:eastAsia="微软雅黑" w:hAnsi="微软雅黑" w:cs="黑体" w:hint="eastAsia"/>
          <w:color w:val="000000"/>
          <w:kern w:val="0"/>
          <w:szCs w:val="21"/>
        </w:rPr>
        <w:t>王某的住房公积金贷款采用“等额还本利息照付”的方式还款，如不考虑利率变化，则各期的还款额（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逐渐减少</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逐渐增加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数额相等</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先增后减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【解析】本题考查的是利息。等额还本利息照付，规定期限内分期归还等额的本金和相应的利息，利息越来越少，则偿还的本金和利息之和逐渐减少。参见教材</w:t>
      </w:r>
      <w:r w:rsidRPr="00E51F6E">
        <w:rPr>
          <w:rFonts w:ascii="微软雅黑" w:eastAsia="微软雅黑" w:hAnsi="微软雅黑" w:cs="黑体" w:hint="eastAsia"/>
          <w:color w:val="000000"/>
          <w:kern w:val="0"/>
          <w:szCs w:val="21"/>
        </w:rPr>
        <w:t>P202</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20.</w:t>
      </w:r>
      <w:r w:rsidRPr="00E51F6E">
        <w:rPr>
          <w:rFonts w:ascii="微软雅黑" w:eastAsia="微软雅黑" w:hAnsi="微软雅黑" w:cs="黑体" w:hint="eastAsia"/>
          <w:color w:val="000000"/>
          <w:kern w:val="0"/>
          <w:szCs w:val="21"/>
        </w:rPr>
        <w:t>若房地产投资项目的财务净现值大于零，则说明该项目的获利能力（　）基准收益率的要求。</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未达到</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正好达到</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已超过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D.</w:t>
      </w:r>
      <w:r w:rsidRPr="00E51F6E">
        <w:rPr>
          <w:rFonts w:ascii="微软雅黑" w:eastAsia="微软雅黑" w:hAnsi="微软雅黑" w:cs="黑体" w:hint="eastAsia"/>
          <w:color w:val="000000"/>
          <w:kern w:val="0"/>
          <w:szCs w:val="21"/>
        </w:rPr>
        <w:t>接近于</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【解析】本题考查的是财务净现值。如果财务净现值大于或等于零，说明该项目的获利能力达到或超过了基准收益率的要求，因而在财务上是可行的。参见教材</w:t>
      </w:r>
      <w:r w:rsidRPr="00E51F6E">
        <w:rPr>
          <w:rFonts w:ascii="微软雅黑" w:eastAsia="微软雅黑" w:hAnsi="微软雅黑" w:cs="黑体" w:hint="eastAsia"/>
          <w:color w:val="000000"/>
          <w:kern w:val="0"/>
          <w:szCs w:val="21"/>
        </w:rPr>
        <w:t>P181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21.</w:t>
      </w:r>
      <w:r w:rsidRPr="00E51F6E">
        <w:rPr>
          <w:rFonts w:ascii="微软雅黑" w:eastAsia="微软雅黑" w:hAnsi="微软雅黑" w:cs="黑体" w:hint="eastAsia"/>
          <w:color w:val="000000"/>
          <w:kern w:val="0"/>
          <w:szCs w:val="21"/>
        </w:rPr>
        <w:t>下列房地产投资项目评价指标中，可用于判断项目能够承</w:t>
      </w:r>
      <w:r w:rsidRPr="00E51F6E">
        <w:rPr>
          <w:rFonts w:ascii="微软雅黑" w:eastAsia="微软雅黑" w:hAnsi="微软雅黑" w:cs="黑体" w:hint="eastAsia"/>
          <w:color w:val="000000"/>
          <w:kern w:val="0"/>
          <w:szCs w:val="21"/>
        </w:rPr>
        <w:t>受最高贷款利率的是（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成本利润率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资本金利润率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销售利润率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财务内部收益率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【解析】本题考查的是财务内部收益率。财务内部收益率表明了项目投资所能支付的最高贷款利率。参见教材</w:t>
      </w:r>
      <w:r w:rsidRPr="00E51F6E">
        <w:rPr>
          <w:rFonts w:ascii="微软雅黑" w:eastAsia="微软雅黑" w:hAnsi="微软雅黑" w:cs="黑体" w:hint="eastAsia"/>
          <w:color w:val="000000"/>
          <w:kern w:val="0"/>
          <w:szCs w:val="21"/>
        </w:rPr>
        <w:t>P182</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22.</w:t>
      </w:r>
      <w:r w:rsidRPr="00E51F6E">
        <w:rPr>
          <w:rFonts w:ascii="微软雅黑" w:eastAsia="微软雅黑" w:hAnsi="微软雅黑" w:cs="黑体" w:hint="eastAsia"/>
          <w:color w:val="000000"/>
          <w:kern w:val="0"/>
          <w:szCs w:val="21"/>
        </w:rPr>
        <w:t>某房地产投资项目的名义收益率为</w:t>
      </w:r>
      <w:r w:rsidRPr="00E51F6E">
        <w:rPr>
          <w:rFonts w:ascii="微软雅黑" w:eastAsia="微软雅黑" w:hAnsi="微软雅黑" w:cs="黑体" w:hint="eastAsia"/>
          <w:color w:val="000000"/>
          <w:kern w:val="0"/>
          <w:szCs w:val="21"/>
        </w:rPr>
        <w:t>12%</w:t>
      </w:r>
      <w:r w:rsidRPr="00E51F6E">
        <w:rPr>
          <w:rFonts w:ascii="微软雅黑" w:eastAsia="微软雅黑" w:hAnsi="微软雅黑" w:cs="黑体" w:hint="eastAsia"/>
          <w:color w:val="000000"/>
          <w:kern w:val="0"/>
          <w:szCs w:val="21"/>
        </w:rPr>
        <w:t>，若通货膨胀率为</w:t>
      </w: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，银行贷款年利率为</w:t>
      </w:r>
      <w:r w:rsidRPr="00E51F6E">
        <w:rPr>
          <w:rFonts w:ascii="微软雅黑" w:eastAsia="微软雅黑" w:hAnsi="微软雅黑" w:cs="黑体" w:hint="eastAsia"/>
          <w:color w:val="000000"/>
          <w:kern w:val="0"/>
          <w:szCs w:val="21"/>
        </w:rPr>
        <w:t>7%</w:t>
      </w:r>
      <w:r w:rsidRPr="00E51F6E">
        <w:rPr>
          <w:rFonts w:ascii="微软雅黑" w:eastAsia="微软雅黑" w:hAnsi="微软雅黑" w:cs="黑体" w:hint="eastAsia"/>
          <w:color w:val="000000"/>
          <w:kern w:val="0"/>
          <w:szCs w:val="21"/>
        </w:rPr>
        <w:t>，一年期存款利率为</w:t>
      </w:r>
      <w:r w:rsidRPr="00E51F6E">
        <w:rPr>
          <w:rFonts w:ascii="微软雅黑" w:eastAsia="微软雅黑" w:hAnsi="微软雅黑" w:cs="黑体" w:hint="eastAsia"/>
          <w:color w:val="000000"/>
          <w:kern w:val="0"/>
          <w:szCs w:val="21"/>
        </w:rPr>
        <w:t>3.5%</w:t>
      </w:r>
      <w:r w:rsidRPr="00E51F6E">
        <w:rPr>
          <w:rFonts w:ascii="微软雅黑" w:eastAsia="微软雅黑" w:hAnsi="微软雅黑" w:cs="黑体" w:hint="eastAsia"/>
          <w:color w:val="000000"/>
          <w:kern w:val="0"/>
          <w:szCs w:val="21"/>
        </w:rPr>
        <w:t>，则该项目的实际收益率为（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A.5.00%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B.8.50%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C.8.74%</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D.9.00%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【解析】本题考查的是财务内部收益率。</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名义收益率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实际收益率）×（</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通货膨胀率），得到：实际收益率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名义收益率）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通货膨胀率）</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1+12%</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1+3%</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-1=8.74%</w:t>
      </w:r>
      <w:r w:rsidRPr="00E51F6E">
        <w:rPr>
          <w:rFonts w:ascii="微软雅黑" w:eastAsia="微软雅黑" w:hAnsi="微软雅黑" w:cs="黑体" w:hint="eastAsia"/>
          <w:color w:val="000000"/>
          <w:kern w:val="0"/>
          <w:szCs w:val="21"/>
        </w:rPr>
        <w:t>。参见教材</w:t>
      </w:r>
      <w:r w:rsidRPr="00E51F6E">
        <w:rPr>
          <w:rFonts w:ascii="微软雅黑" w:eastAsia="微软雅黑" w:hAnsi="微软雅黑" w:cs="黑体" w:hint="eastAsia"/>
          <w:color w:val="000000"/>
          <w:kern w:val="0"/>
          <w:szCs w:val="21"/>
        </w:rPr>
        <w:t>P187</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23.</w:t>
      </w:r>
      <w:r w:rsidRPr="00E51F6E">
        <w:rPr>
          <w:rFonts w:ascii="微软雅黑" w:eastAsia="微软雅黑" w:hAnsi="微软雅黑" w:cs="黑体" w:hint="eastAsia"/>
          <w:color w:val="000000"/>
          <w:kern w:val="0"/>
          <w:szCs w:val="21"/>
        </w:rPr>
        <w:t>某投资者以</w:t>
      </w:r>
      <w:r w:rsidRPr="00E51F6E">
        <w:rPr>
          <w:rFonts w:ascii="微软雅黑" w:eastAsia="微软雅黑" w:hAnsi="微软雅黑" w:cs="黑体" w:hint="eastAsia"/>
          <w:color w:val="000000"/>
          <w:kern w:val="0"/>
          <w:szCs w:val="21"/>
        </w:rPr>
        <w:t>8000</w:t>
      </w:r>
      <w:r w:rsidRPr="00E51F6E">
        <w:rPr>
          <w:rFonts w:ascii="微软雅黑" w:eastAsia="微软雅黑" w:hAnsi="微软雅黑" w:cs="黑体" w:hint="eastAsia"/>
          <w:color w:val="000000"/>
          <w:kern w:val="0"/>
          <w:szCs w:val="21"/>
        </w:rPr>
        <w:t>万元购买一栋写字楼用于出租经营，其中的</w:t>
      </w:r>
      <w:r w:rsidRPr="00E51F6E">
        <w:rPr>
          <w:rFonts w:ascii="微软雅黑" w:eastAsia="微软雅黑" w:hAnsi="微软雅黑" w:cs="黑体" w:hint="eastAsia"/>
          <w:color w:val="000000"/>
          <w:kern w:val="0"/>
          <w:szCs w:val="21"/>
        </w:rPr>
        <w:t>40%</w:t>
      </w:r>
      <w:r w:rsidRPr="00E51F6E">
        <w:rPr>
          <w:rFonts w:ascii="微软雅黑" w:eastAsia="微软雅黑" w:hAnsi="微软雅黑" w:cs="黑体" w:hint="eastAsia"/>
          <w:color w:val="000000"/>
          <w:kern w:val="0"/>
          <w:szCs w:val="21"/>
        </w:rPr>
        <w:t>为银行提供的抵押贷款，其余为自有资金，经营期内年平均利润总额为</w:t>
      </w:r>
      <w:r w:rsidRPr="00E51F6E">
        <w:rPr>
          <w:rFonts w:ascii="微软雅黑" w:eastAsia="微软雅黑" w:hAnsi="微软雅黑" w:cs="黑体" w:hint="eastAsia"/>
          <w:color w:val="000000"/>
          <w:kern w:val="0"/>
          <w:szCs w:val="21"/>
        </w:rPr>
        <w:t>1000</w:t>
      </w:r>
      <w:r w:rsidRPr="00E51F6E">
        <w:rPr>
          <w:rFonts w:ascii="微软雅黑" w:eastAsia="微软雅黑" w:hAnsi="微软雅黑" w:cs="黑体" w:hint="eastAsia"/>
          <w:color w:val="000000"/>
          <w:kern w:val="0"/>
          <w:szCs w:val="21"/>
        </w:rPr>
        <w:t>万元，所得税率为</w:t>
      </w:r>
      <w:r w:rsidRPr="00E51F6E">
        <w:rPr>
          <w:rFonts w:ascii="微软雅黑" w:eastAsia="微软雅黑" w:hAnsi="微软雅黑" w:cs="黑体" w:hint="eastAsia"/>
          <w:color w:val="000000"/>
          <w:kern w:val="0"/>
          <w:szCs w:val="21"/>
        </w:rPr>
        <w:t>25%</w:t>
      </w:r>
      <w:r w:rsidRPr="00E51F6E">
        <w:rPr>
          <w:rFonts w:ascii="微软雅黑" w:eastAsia="微软雅黑" w:hAnsi="微软雅黑" w:cs="黑体" w:hint="eastAsia"/>
          <w:color w:val="000000"/>
          <w:kern w:val="0"/>
          <w:szCs w:val="21"/>
        </w:rPr>
        <w:t>，则该项投资的资本金净利润率为（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A.9.38%</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B.12.50%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C.15.63%</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D.20.83%</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【解析】本题考查的是资本金净利润率。资本金净利润率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年税后利润总额或年平均税后利润总额</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资本金</w:t>
      </w:r>
      <w:r w:rsidRPr="00E51F6E">
        <w:rPr>
          <w:rFonts w:ascii="微软雅黑" w:eastAsia="微软雅黑" w:hAnsi="微软雅黑" w:cs="黑体" w:hint="eastAsia"/>
          <w:color w:val="000000"/>
          <w:kern w:val="0"/>
          <w:szCs w:val="21"/>
        </w:rPr>
        <w:t>=1000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1-25%</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8000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60%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=15.625%</w:t>
      </w:r>
      <w:r w:rsidRPr="00E51F6E">
        <w:rPr>
          <w:rFonts w:ascii="微软雅黑" w:eastAsia="微软雅黑" w:hAnsi="微软雅黑" w:cs="黑体" w:hint="eastAsia"/>
          <w:color w:val="000000"/>
          <w:kern w:val="0"/>
          <w:szCs w:val="21"/>
        </w:rPr>
        <w:t>。参见教材</w:t>
      </w:r>
      <w:r w:rsidRPr="00E51F6E">
        <w:rPr>
          <w:rFonts w:ascii="微软雅黑" w:eastAsia="微软雅黑" w:hAnsi="微软雅黑" w:cs="黑体" w:hint="eastAsia"/>
          <w:color w:val="000000"/>
          <w:kern w:val="0"/>
          <w:szCs w:val="21"/>
        </w:rPr>
        <w:t>P199</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24.</w:t>
      </w:r>
      <w:r w:rsidRPr="00E51F6E">
        <w:rPr>
          <w:rFonts w:ascii="微软雅黑" w:eastAsia="微软雅黑" w:hAnsi="微软雅黑" w:cs="黑体" w:hint="eastAsia"/>
          <w:color w:val="000000"/>
          <w:kern w:val="0"/>
          <w:szCs w:val="21"/>
        </w:rPr>
        <w:t>某投资者以</w:t>
      </w:r>
      <w:r w:rsidRPr="00E51F6E">
        <w:rPr>
          <w:rFonts w:ascii="微软雅黑" w:eastAsia="微软雅黑" w:hAnsi="微软雅黑" w:cs="黑体" w:hint="eastAsia"/>
          <w:color w:val="000000"/>
          <w:kern w:val="0"/>
          <w:szCs w:val="21"/>
        </w:rPr>
        <w:t>160</w:t>
      </w:r>
      <w:r w:rsidRPr="00E51F6E">
        <w:rPr>
          <w:rFonts w:ascii="微软雅黑" w:eastAsia="微软雅黑" w:hAnsi="微软雅黑" w:cs="黑体" w:hint="eastAsia"/>
          <w:color w:val="000000"/>
          <w:kern w:val="0"/>
          <w:szCs w:val="21"/>
        </w:rPr>
        <w:t>万元购买一个商</w:t>
      </w:r>
      <w:proofErr w:type="gramStart"/>
      <w:r w:rsidRPr="00E51F6E">
        <w:rPr>
          <w:rFonts w:ascii="微软雅黑" w:eastAsia="微软雅黑" w:hAnsi="微软雅黑" w:cs="黑体" w:hint="eastAsia"/>
          <w:color w:val="000000"/>
          <w:kern w:val="0"/>
          <w:szCs w:val="21"/>
        </w:rPr>
        <w:t>铺用于</w:t>
      </w:r>
      <w:proofErr w:type="gramEnd"/>
      <w:r w:rsidRPr="00E51F6E">
        <w:rPr>
          <w:rFonts w:ascii="微软雅黑" w:eastAsia="微软雅黑" w:hAnsi="微软雅黑" w:cs="黑体" w:hint="eastAsia"/>
          <w:color w:val="000000"/>
          <w:kern w:val="0"/>
          <w:szCs w:val="21"/>
        </w:rPr>
        <w:t>出租经营，其中的</w:t>
      </w:r>
      <w:r w:rsidRPr="00E51F6E">
        <w:rPr>
          <w:rFonts w:ascii="微软雅黑" w:eastAsia="微软雅黑" w:hAnsi="微软雅黑" w:cs="黑体" w:hint="eastAsia"/>
          <w:color w:val="000000"/>
          <w:kern w:val="0"/>
          <w:szCs w:val="21"/>
        </w:rPr>
        <w:t>60</w:t>
      </w:r>
      <w:r w:rsidRPr="00E51F6E">
        <w:rPr>
          <w:rFonts w:ascii="微软雅黑" w:eastAsia="微软雅黑" w:hAnsi="微软雅黑" w:cs="黑体" w:hint="eastAsia"/>
          <w:color w:val="000000"/>
          <w:kern w:val="0"/>
          <w:szCs w:val="21"/>
        </w:rPr>
        <w:t>万元为银行提供的年利率</w:t>
      </w:r>
      <w:r w:rsidRPr="00E51F6E">
        <w:rPr>
          <w:rFonts w:ascii="微软雅黑" w:eastAsia="微软雅黑" w:hAnsi="微软雅黑" w:cs="黑体" w:hint="eastAsia"/>
          <w:color w:val="000000"/>
          <w:kern w:val="0"/>
          <w:szCs w:val="21"/>
        </w:rPr>
        <w:t>8%</w:t>
      </w:r>
      <w:r w:rsidRPr="00E51F6E">
        <w:rPr>
          <w:rFonts w:ascii="微软雅黑" w:eastAsia="微软雅黑" w:hAnsi="微软雅黑" w:cs="黑体" w:hint="eastAsia"/>
          <w:color w:val="000000"/>
          <w:kern w:val="0"/>
          <w:szCs w:val="21"/>
        </w:rPr>
        <w:t>、期限</w:t>
      </w:r>
      <w:r w:rsidRPr="00E51F6E">
        <w:rPr>
          <w:rFonts w:ascii="微软雅黑" w:eastAsia="微软雅黑" w:hAnsi="微软雅黑" w:cs="黑体" w:hint="eastAsia"/>
          <w:color w:val="000000"/>
          <w:kern w:val="0"/>
          <w:szCs w:val="21"/>
        </w:rPr>
        <w:t>10</w:t>
      </w:r>
      <w:r w:rsidRPr="00E51F6E">
        <w:rPr>
          <w:rFonts w:ascii="微软雅黑" w:eastAsia="微软雅黑" w:hAnsi="微软雅黑" w:cs="黑体" w:hint="eastAsia"/>
          <w:color w:val="000000"/>
          <w:kern w:val="0"/>
          <w:szCs w:val="21"/>
        </w:rPr>
        <w:t>年、按年等额还本付息的抵押贷款，其余为自为资金。若该商铺的年租金收入为</w:t>
      </w:r>
      <w:r w:rsidRPr="00E51F6E">
        <w:rPr>
          <w:rFonts w:ascii="微软雅黑" w:eastAsia="微软雅黑" w:hAnsi="微软雅黑" w:cs="黑体" w:hint="eastAsia"/>
          <w:color w:val="000000"/>
          <w:kern w:val="0"/>
          <w:szCs w:val="21"/>
        </w:rPr>
        <w:t>30</w:t>
      </w:r>
      <w:r w:rsidRPr="00E51F6E">
        <w:rPr>
          <w:rFonts w:ascii="微软雅黑" w:eastAsia="微软雅黑" w:hAnsi="微软雅黑" w:cs="黑体" w:hint="eastAsia"/>
          <w:color w:val="000000"/>
          <w:kern w:val="0"/>
          <w:szCs w:val="21"/>
        </w:rPr>
        <w:t>万元，不包括还本付息的年运营费用为年租金收入的</w:t>
      </w:r>
      <w:r w:rsidRPr="00E51F6E">
        <w:rPr>
          <w:rFonts w:ascii="微软雅黑" w:eastAsia="微软雅黑" w:hAnsi="微软雅黑" w:cs="黑体" w:hint="eastAsia"/>
          <w:color w:val="000000"/>
          <w:kern w:val="0"/>
          <w:szCs w:val="21"/>
        </w:rPr>
        <w:t>25%</w:t>
      </w:r>
      <w:r w:rsidRPr="00E51F6E">
        <w:rPr>
          <w:rFonts w:ascii="微软雅黑" w:eastAsia="微软雅黑" w:hAnsi="微软雅黑" w:cs="黑体" w:hint="eastAsia"/>
          <w:color w:val="000000"/>
          <w:kern w:val="0"/>
          <w:szCs w:val="21"/>
        </w:rPr>
        <w:t>，所得税率为</w:t>
      </w:r>
      <w:r w:rsidRPr="00E51F6E">
        <w:rPr>
          <w:rFonts w:ascii="微软雅黑" w:eastAsia="微软雅黑" w:hAnsi="微软雅黑" w:cs="黑体" w:hint="eastAsia"/>
          <w:color w:val="000000"/>
          <w:kern w:val="0"/>
          <w:szCs w:val="21"/>
        </w:rPr>
        <w:t>25%</w:t>
      </w:r>
      <w:r w:rsidRPr="00E51F6E">
        <w:rPr>
          <w:rFonts w:ascii="微软雅黑" w:eastAsia="微软雅黑" w:hAnsi="微软雅黑" w:cs="黑体" w:hint="eastAsia"/>
          <w:color w:val="000000"/>
          <w:kern w:val="0"/>
          <w:szCs w:val="21"/>
        </w:rPr>
        <w:t>，则该项投资的税前现金回报率为（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A.8.48%</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B.13.56</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C.15.00%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D.22.50%</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【解析】本题考查的是现金回报率和投资回报率。税前现金回报率</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（营业利润</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年还本付息）</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初始现金投资，年还本付息</w:t>
      </w:r>
      <w:r w:rsidRPr="00E51F6E">
        <w:rPr>
          <w:rFonts w:ascii="微软雅黑" w:eastAsia="微软雅黑" w:hAnsi="微软雅黑" w:cs="黑体" w:hint="eastAsia"/>
          <w:color w:val="000000"/>
          <w:kern w:val="0"/>
          <w:szCs w:val="21"/>
        </w:rPr>
        <w:t>A=P</w:t>
      </w:r>
      <w:r w:rsidRPr="00E51F6E">
        <w:rPr>
          <w:rFonts w:ascii="微软雅黑" w:eastAsia="微软雅黑" w:hAnsi="微软雅黑" w:cs="黑体" w:hint="eastAsia"/>
          <w:color w:val="000000"/>
          <w:kern w:val="0"/>
          <w:szCs w:val="21"/>
        </w:rPr>
        <w:t>×</w:t>
      </w:r>
      <w:proofErr w:type="spellStart"/>
      <w:r w:rsidRPr="00E51F6E">
        <w:rPr>
          <w:rFonts w:ascii="微软雅黑" w:eastAsia="微软雅黑" w:hAnsi="微软雅黑" w:cs="黑体" w:hint="eastAsia"/>
          <w:color w:val="000000"/>
          <w:kern w:val="0"/>
          <w:szCs w:val="21"/>
        </w:rPr>
        <w:t>i</w:t>
      </w:r>
      <w:proofErr w:type="spellEnd"/>
      <w:r w:rsidRPr="00E51F6E">
        <w:rPr>
          <w:rFonts w:ascii="微软雅黑" w:eastAsia="微软雅黑" w:hAnsi="微软雅黑" w:cs="黑体" w:hint="eastAsia"/>
          <w:color w:val="000000"/>
          <w:kern w:val="0"/>
          <w:szCs w:val="21"/>
        </w:rPr>
        <w:t>+</w:t>
      </w:r>
      <w:r w:rsidR="0014315C" w:rsidRPr="00E51F6E">
        <w:rPr>
          <w:rFonts w:ascii="微软雅黑" w:eastAsia="微软雅黑" w:hAnsi="微软雅黑" w:cs="黑体" w:hint="eastAsia"/>
          <w:color w:val="000000"/>
          <w:kern w:val="0"/>
          <w:position w:val="-28"/>
          <w:szCs w:val="21"/>
        </w:rPr>
        <w:object w:dxaOrig="1000" w:dyaOrig="660">
          <v:shape id="_x0000_i1026" type="#_x0000_t75" style="width:50.25pt;height:33pt" o:ole="">
            <v:imagedata r:id="rId9" o:title=""/>
          </v:shape>
          <o:OLEObject Type="Embed" ProgID="Equation.3" ShapeID="_x0000_i1026" DrawAspect="Content" ObjectID="_1596532103" r:id="rId11"/>
        </w:object>
      </w:r>
      <w:r w:rsidRPr="00E51F6E">
        <w:rPr>
          <w:rFonts w:ascii="微软雅黑" w:eastAsia="微软雅黑" w:hAnsi="微软雅黑" w:cs="黑体" w:hint="eastAsia"/>
          <w:color w:val="000000"/>
          <w:kern w:val="0"/>
          <w:szCs w:val="21"/>
        </w:rPr>
        <w:t>=60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8%+60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8%/[</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1+8%</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vertAlign w:val="superscript"/>
        </w:rPr>
        <w:t>10</w:t>
      </w:r>
      <w:r w:rsidRPr="00E51F6E">
        <w:rPr>
          <w:rFonts w:ascii="微软雅黑" w:eastAsia="微软雅黑" w:hAnsi="微软雅黑" w:cs="黑体" w:hint="eastAsia"/>
          <w:color w:val="000000"/>
          <w:kern w:val="0"/>
          <w:szCs w:val="21"/>
        </w:rPr>
        <w:t>-1]=8.94</w:t>
      </w:r>
      <w:r w:rsidRPr="00E51F6E">
        <w:rPr>
          <w:rFonts w:ascii="微软雅黑" w:eastAsia="微软雅黑" w:hAnsi="微软雅黑" w:cs="黑体" w:hint="eastAsia"/>
          <w:color w:val="000000"/>
          <w:kern w:val="0"/>
          <w:szCs w:val="21"/>
        </w:rPr>
        <w:t>万元，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税前现金回报率</w:t>
      </w:r>
      <w:r w:rsidRPr="00E51F6E">
        <w:rPr>
          <w:rFonts w:ascii="微软雅黑" w:eastAsia="微软雅黑" w:hAnsi="微软雅黑" w:cs="黑体" w:hint="eastAsia"/>
          <w:color w:val="000000"/>
          <w:kern w:val="0"/>
          <w:szCs w:val="21"/>
        </w:rPr>
        <w:t>=[30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1-25%</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-8.94]/</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160-60</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=13.56%</w:t>
      </w:r>
      <w:r w:rsidRPr="00E51F6E">
        <w:rPr>
          <w:rFonts w:ascii="微软雅黑" w:eastAsia="微软雅黑" w:hAnsi="微软雅黑" w:cs="黑体" w:hint="eastAsia"/>
          <w:color w:val="000000"/>
          <w:kern w:val="0"/>
          <w:szCs w:val="21"/>
        </w:rPr>
        <w:t>。参见教材</w:t>
      </w:r>
      <w:r w:rsidRPr="00E51F6E">
        <w:rPr>
          <w:rFonts w:ascii="微软雅黑" w:eastAsia="微软雅黑" w:hAnsi="微软雅黑" w:cs="黑体" w:hint="eastAsia"/>
          <w:color w:val="000000"/>
          <w:kern w:val="0"/>
          <w:szCs w:val="21"/>
        </w:rPr>
        <w:t>P201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25.</w:t>
      </w:r>
      <w:r w:rsidRPr="00E51F6E">
        <w:rPr>
          <w:rFonts w:ascii="微软雅黑" w:eastAsia="微软雅黑" w:hAnsi="微软雅黑" w:cs="黑体" w:hint="eastAsia"/>
          <w:color w:val="000000"/>
          <w:kern w:val="0"/>
          <w:szCs w:val="21"/>
        </w:rPr>
        <w:t>估计房地产置业投资项目的空置率时，不用考虑（　）的影响。</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宏观社会经济环境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房地产市场供求关系</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租户支付租金能力</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银行贷款利率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置业投资项目的主要不确定性因素。空置率的变化与宏观社会经济环境、市场供求关系、业主经营管理水平、租户支付租金的能力等有关，所以准确估计某类物业的空置率，也不是一件很容易的事。参见教材</w:t>
      </w:r>
      <w:r w:rsidRPr="00E51F6E">
        <w:rPr>
          <w:rFonts w:ascii="微软雅黑" w:eastAsia="微软雅黑" w:hAnsi="微软雅黑" w:cs="黑体" w:hint="eastAsia"/>
          <w:color w:val="000000"/>
          <w:kern w:val="0"/>
          <w:szCs w:val="21"/>
        </w:rPr>
        <w:t>P217</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26.</w:t>
      </w:r>
      <w:r w:rsidRPr="00E51F6E">
        <w:rPr>
          <w:rFonts w:ascii="微软雅黑" w:eastAsia="微软雅黑" w:hAnsi="微软雅黑" w:cs="黑体" w:hint="eastAsia"/>
          <w:color w:val="000000"/>
          <w:kern w:val="0"/>
          <w:szCs w:val="21"/>
        </w:rPr>
        <w:t>投资决策方法中的决策树法，常用于解决（　）决策的问题。</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确定型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成长型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风险型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D.</w:t>
      </w:r>
      <w:r w:rsidRPr="00E51F6E">
        <w:rPr>
          <w:rFonts w:ascii="微软雅黑" w:eastAsia="微软雅黑" w:hAnsi="微软雅黑" w:cs="黑体" w:hint="eastAsia"/>
          <w:color w:val="000000"/>
          <w:kern w:val="0"/>
          <w:szCs w:val="21"/>
        </w:rPr>
        <w:t>不确定型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决策的方法。确定型决策方法包括应用线性规划等运筹学方法或借助计算机进行决策；风险型决策的具体方法包括最大可能法、期望值法和决策树法；不确定型决策方法包括小中取大法、大中取大法、最小最大后悔值法。参见教材</w:t>
      </w:r>
      <w:r w:rsidRPr="00E51F6E">
        <w:rPr>
          <w:rFonts w:ascii="微软雅黑" w:eastAsia="微软雅黑" w:hAnsi="微软雅黑" w:cs="黑体" w:hint="eastAsia"/>
          <w:color w:val="000000"/>
          <w:kern w:val="0"/>
          <w:szCs w:val="21"/>
        </w:rPr>
        <w:t>P240</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27.</w:t>
      </w:r>
      <w:r w:rsidRPr="00E51F6E">
        <w:rPr>
          <w:rFonts w:ascii="微软雅黑" w:eastAsia="微软雅黑" w:hAnsi="微软雅黑" w:cs="黑体" w:hint="eastAsia"/>
          <w:color w:val="000000"/>
          <w:kern w:val="0"/>
          <w:szCs w:val="21"/>
        </w:rPr>
        <w:t>对规模较大的房地产开发项目，房地产开发企业常常需常要对项目何时开发、分几期开发等问题进行决策。从实物期权理论上看，该类开发项目可能产生（　）问题。</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成长型期权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等待投资型期权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放弃型期权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柔性期权</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【解析】本题考查的是实物期权方法与房地产投资决</w:t>
      </w:r>
      <w:r w:rsidRPr="00E51F6E">
        <w:rPr>
          <w:rFonts w:ascii="微软雅黑" w:eastAsia="微软雅黑" w:hAnsi="微软雅黑" w:cs="黑体" w:hint="eastAsia"/>
          <w:color w:val="000000"/>
          <w:kern w:val="0"/>
          <w:szCs w:val="21"/>
        </w:rPr>
        <w:t>策。尽管政府开始有意识的控制单一开发项目的规模，但仍然有地方政府希望通过出让大型开发地块，吸引大型开发商参与。例如，北辰集团</w:t>
      </w:r>
      <w:r w:rsidRPr="00E51F6E">
        <w:rPr>
          <w:rFonts w:ascii="微软雅黑" w:eastAsia="微软雅黑" w:hAnsi="微软雅黑" w:cs="黑体" w:hint="eastAsia"/>
          <w:color w:val="000000"/>
          <w:kern w:val="0"/>
          <w:szCs w:val="21"/>
        </w:rPr>
        <w:t>2007</w:t>
      </w:r>
      <w:r w:rsidRPr="00E51F6E">
        <w:rPr>
          <w:rFonts w:ascii="微软雅黑" w:eastAsia="微软雅黑" w:hAnsi="微软雅黑" w:cs="黑体" w:hint="eastAsia"/>
          <w:color w:val="000000"/>
          <w:kern w:val="0"/>
          <w:szCs w:val="21"/>
        </w:rPr>
        <w:t>年以</w:t>
      </w:r>
      <w:r w:rsidRPr="00E51F6E">
        <w:rPr>
          <w:rFonts w:ascii="微软雅黑" w:eastAsia="微软雅黑" w:hAnsi="微软雅黑" w:cs="黑体" w:hint="eastAsia"/>
          <w:color w:val="000000"/>
          <w:kern w:val="0"/>
          <w:szCs w:val="21"/>
        </w:rPr>
        <w:t>92</w:t>
      </w:r>
      <w:r w:rsidRPr="00E51F6E">
        <w:rPr>
          <w:rFonts w:ascii="微软雅黑" w:eastAsia="微软雅黑" w:hAnsi="微软雅黑" w:cs="黑体" w:hint="eastAsia"/>
          <w:color w:val="000000"/>
          <w:kern w:val="0"/>
          <w:szCs w:val="21"/>
        </w:rPr>
        <w:t>亿元地价款获得的长沙开福区新河三角洲地块，出让土地面积达</w:t>
      </w:r>
      <w:r w:rsidRPr="00E51F6E">
        <w:rPr>
          <w:rFonts w:ascii="微软雅黑" w:eastAsia="微软雅黑" w:hAnsi="微软雅黑" w:cs="黑体" w:hint="eastAsia"/>
          <w:color w:val="000000"/>
          <w:kern w:val="0"/>
          <w:szCs w:val="21"/>
        </w:rPr>
        <w:t>78.5</w:t>
      </w:r>
      <w:r w:rsidRPr="00E51F6E">
        <w:rPr>
          <w:rFonts w:ascii="微软雅黑" w:eastAsia="微软雅黑" w:hAnsi="微软雅黑" w:cs="黑体" w:hint="eastAsia"/>
          <w:color w:val="000000"/>
          <w:kern w:val="0"/>
          <w:szCs w:val="21"/>
        </w:rPr>
        <w:t>万平方米，地上总建筑面积</w:t>
      </w:r>
      <w:r w:rsidRPr="00E51F6E">
        <w:rPr>
          <w:rFonts w:ascii="微软雅黑" w:eastAsia="微软雅黑" w:hAnsi="微软雅黑" w:cs="黑体" w:hint="eastAsia"/>
          <w:color w:val="000000"/>
          <w:kern w:val="0"/>
          <w:szCs w:val="21"/>
        </w:rPr>
        <w:t>380</w:t>
      </w:r>
      <w:r w:rsidRPr="00E51F6E">
        <w:rPr>
          <w:rFonts w:ascii="微软雅黑" w:eastAsia="微软雅黑" w:hAnsi="微软雅黑" w:cs="黑体" w:hint="eastAsia"/>
          <w:color w:val="000000"/>
          <w:kern w:val="0"/>
          <w:szCs w:val="21"/>
        </w:rPr>
        <w:t>万平方米，地下建筑面积</w:t>
      </w:r>
      <w:r w:rsidRPr="00E51F6E">
        <w:rPr>
          <w:rFonts w:ascii="微软雅黑" w:eastAsia="微软雅黑" w:hAnsi="微软雅黑" w:cs="黑体" w:hint="eastAsia"/>
          <w:color w:val="000000"/>
          <w:kern w:val="0"/>
          <w:szCs w:val="21"/>
        </w:rPr>
        <w:t>157</w:t>
      </w:r>
      <w:r w:rsidRPr="00E51F6E">
        <w:rPr>
          <w:rFonts w:ascii="微软雅黑" w:eastAsia="微软雅黑" w:hAnsi="微软雅黑" w:cs="黑体" w:hint="eastAsia"/>
          <w:color w:val="000000"/>
          <w:kern w:val="0"/>
          <w:szCs w:val="21"/>
        </w:rPr>
        <w:t>万平方米。该项目的开发商肯定要采用分期开发模式进行开发，因为首期开发通常很难产生理想的收益，其投入很可能与收益持平甚至大于收益，但对项目后期投资收益会有较大影响。实物期权观点认为，该类型的开发项目可能产生成长型期权，因而可以对成长型期权进行估价，以确</w:t>
      </w:r>
      <w:r w:rsidRPr="00E51F6E">
        <w:rPr>
          <w:rFonts w:ascii="微软雅黑" w:eastAsia="微软雅黑" w:hAnsi="微软雅黑" w:cs="黑体" w:hint="eastAsia"/>
          <w:color w:val="000000"/>
          <w:kern w:val="0"/>
          <w:szCs w:val="21"/>
        </w:rPr>
        <w:t>定是否进行投资。参见教材</w:t>
      </w:r>
      <w:r w:rsidRPr="00E51F6E">
        <w:rPr>
          <w:rFonts w:ascii="微软雅黑" w:eastAsia="微软雅黑" w:hAnsi="微软雅黑" w:cs="黑体" w:hint="eastAsia"/>
          <w:color w:val="000000"/>
          <w:kern w:val="0"/>
          <w:szCs w:val="21"/>
        </w:rPr>
        <w:t>P245</w:t>
      </w:r>
      <w:r w:rsidRPr="00E51F6E">
        <w:rPr>
          <w:rFonts w:ascii="微软雅黑" w:eastAsia="微软雅黑" w:hAnsi="微软雅黑" w:cs="黑体" w:hint="eastAsia"/>
          <w:color w:val="000000"/>
          <w:kern w:val="0"/>
          <w:szCs w:val="21"/>
        </w:rPr>
        <w:t>。</w:t>
      </w:r>
    </w:p>
    <w:p w:rsidR="0014315C" w:rsidRPr="00E51F6E" w:rsidRDefault="00642AC9" w:rsidP="00E51F6E">
      <w:pPr>
        <w:widowControl/>
        <w:numPr>
          <w:ilvl w:val="0"/>
          <w:numId w:val="3"/>
        </w:numPr>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在房地产投资决策中起关键作用的可行性研究是（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一般投资机会研究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特定项目投资机会研究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初步可行性研究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详细可行性研究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【解析】本题考查的是可行性研究的工作阶段。详细可行性研究是项目投资决策的基础，是在综合分析项目经济、技术、环境等可行性后做出投资决策的关键步骤。参见教材</w:t>
      </w:r>
      <w:r w:rsidRPr="00E51F6E">
        <w:rPr>
          <w:rFonts w:ascii="微软雅黑" w:eastAsia="微软雅黑" w:hAnsi="微软雅黑" w:cs="黑体" w:hint="eastAsia"/>
          <w:color w:val="000000"/>
          <w:kern w:val="0"/>
          <w:szCs w:val="21"/>
        </w:rPr>
        <w:t>P252</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29.</w:t>
      </w:r>
      <w:r w:rsidRPr="00E51F6E">
        <w:rPr>
          <w:rFonts w:ascii="微软雅黑" w:eastAsia="微软雅黑" w:hAnsi="微软雅黑" w:cs="黑体" w:hint="eastAsia"/>
          <w:color w:val="000000"/>
          <w:kern w:val="0"/>
          <w:szCs w:val="21"/>
        </w:rPr>
        <w:t>在房地产开发项目策划中，资金结构分析与选择的主要内容是结合项目的（　）来设计资金结构。</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产品组合方式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开发合作方式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销售代理方式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市场定位方式</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开发项目策划。房地产项目融资方式与资金结构的分析与选择，主要是结合项目开发合作方式设计资金结构，确定合作各方在项目资本金中所占的份额，并通过分析可能的资金来源和经营方式，对项目所需的短期和长期资金的筹措做出合理的安排。参见教材</w:t>
      </w:r>
      <w:r w:rsidRPr="00E51F6E">
        <w:rPr>
          <w:rFonts w:ascii="微软雅黑" w:eastAsia="微软雅黑" w:hAnsi="微软雅黑" w:cs="黑体" w:hint="eastAsia"/>
          <w:color w:val="000000"/>
          <w:kern w:val="0"/>
          <w:szCs w:val="21"/>
        </w:rPr>
        <w:t>P257</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30.</w:t>
      </w:r>
      <w:r w:rsidRPr="00E51F6E">
        <w:rPr>
          <w:rFonts w:ascii="微软雅黑" w:eastAsia="微软雅黑" w:hAnsi="微软雅黑" w:cs="黑体" w:hint="eastAsia"/>
          <w:color w:val="000000"/>
          <w:kern w:val="0"/>
          <w:szCs w:val="21"/>
        </w:rPr>
        <w:t>关于资本金现金流量表的说法，正确的是（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A.</w:t>
      </w:r>
      <w:r w:rsidRPr="00E51F6E">
        <w:rPr>
          <w:rFonts w:ascii="微软雅黑" w:eastAsia="微软雅黑" w:hAnsi="微软雅黑" w:cs="黑体" w:hint="eastAsia"/>
          <w:color w:val="000000"/>
          <w:kern w:val="0"/>
          <w:szCs w:val="21"/>
        </w:rPr>
        <w:t>把所有投资均视为自有资金</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现金流出包括利息支付</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不考虑信贷资金的还本</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只能用于计算静态盈利指标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【解析】本题考查的是基本</w:t>
      </w:r>
      <w:r w:rsidRPr="00E51F6E">
        <w:rPr>
          <w:rFonts w:ascii="微软雅黑" w:eastAsia="微软雅黑" w:hAnsi="微软雅黑" w:cs="黑体" w:hint="eastAsia"/>
          <w:color w:val="000000"/>
          <w:kern w:val="0"/>
          <w:szCs w:val="21"/>
        </w:rPr>
        <w:t>报表。资本金现金流量表从投资者整体的角度出发，以投资者的出资额作为计算基础，把借款本金偿还和利息支付视为现金流出，用以计算资本金财务内部收益率、财务净现值等评价指标，考察项目资本金的盈利能力。参见教材</w:t>
      </w:r>
      <w:r w:rsidRPr="00E51F6E">
        <w:rPr>
          <w:rFonts w:ascii="微软雅黑" w:eastAsia="微软雅黑" w:hAnsi="微软雅黑" w:cs="黑体" w:hint="eastAsia"/>
          <w:color w:val="000000"/>
          <w:kern w:val="0"/>
          <w:szCs w:val="21"/>
        </w:rPr>
        <w:t>P268</w:t>
      </w:r>
      <w:r w:rsidRPr="00E51F6E">
        <w:rPr>
          <w:rFonts w:ascii="微软雅黑" w:eastAsia="微软雅黑" w:hAnsi="微软雅黑" w:cs="黑体" w:hint="eastAsia"/>
          <w:color w:val="000000"/>
          <w:kern w:val="0"/>
          <w:szCs w:val="21"/>
        </w:rPr>
        <w:t>。</w:t>
      </w:r>
    </w:p>
    <w:p w:rsidR="0014315C" w:rsidRPr="00E51F6E" w:rsidRDefault="00642AC9" w:rsidP="00E51F6E">
      <w:pPr>
        <w:numPr>
          <w:ilvl w:val="0"/>
          <w:numId w:val="4"/>
        </w:numPr>
        <w:rPr>
          <w:rFonts w:ascii="微软雅黑" w:eastAsia="微软雅黑" w:hAnsi="微软雅黑" w:cs="黑体"/>
          <w:szCs w:val="21"/>
        </w:rPr>
      </w:pPr>
      <w:r w:rsidRPr="00E51F6E">
        <w:rPr>
          <w:rFonts w:ascii="微软雅黑" w:eastAsia="微软雅黑" w:hAnsi="微软雅黑" w:cs="黑体" w:hint="eastAsia"/>
          <w:szCs w:val="21"/>
        </w:rPr>
        <w:t>在房地产开发项目投资分析中，用于选择资金筹措方案、制定适宜的借款及偿还计划的基本报表是（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A.</w:t>
      </w:r>
      <w:r w:rsidRPr="00E51F6E">
        <w:rPr>
          <w:rFonts w:ascii="微软雅黑" w:eastAsia="微软雅黑" w:hAnsi="微软雅黑" w:cs="黑体" w:hint="eastAsia"/>
          <w:szCs w:val="21"/>
        </w:rPr>
        <w:t>项目投资现金流量表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B.</w:t>
      </w:r>
      <w:r w:rsidRPr="00E51F6E">
        <w:rPr>
          <w:rFonts w:ascii="微软雅黑" w:eastAsia="微软雅黑" w:hAnsi="微软雅黑" w:cs="黑体" w:hint="eastAsia"/>
          <w:szCs w:val="21"/>
        </w:rPr>
        <w:t>资本金现金流量表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投资各方现金流量表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财务计划现金流量表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【解析】本题考查的是基本报表。财务计划现金流量表反映房地产项目开发经营期内各期的资金盈余或短缺情况，用于选择资金筹措方案，制定适宜的借款及偿还计划。表参见教材</w:t>
      </w:r>
      <w:r w:rsidRPr="00E51F6E">
        <w:rPr>
          <w:rFonts w:ascii="微软雅黑" w:eastAsia="微软雅黑" w:hAnsi="微软雅黑" w:cs="黑体" w:hint="eastAsia"/>
          <w:color w:val="000000"/>
          <w:kern w:val="0"/>
          <w:szCs w:val="21"/>
        </w:rPr>
        <w:t>P270</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32.</w:t>
      </w:r>
      <w:r w:rsidRPr="00E51F6E">
        <w:rPr>
          <w:rFonts w:ascii="微软雅黑" w:eastAsia="微软雅黑" w:hAnsi="微软雅黑" w:cs="黑体" w:hint="eastAsia"/>
          <w:szCs w:val="21"/>
        </w:rPr>
        <w:t>目前我国房地产开发企业债务融资的主要资金来源是（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A.</w:t>
      </w:r>
      <w:r w:rsidRPr="00E51F6E">
        <w:rPr>
          <w:rFonts w:ascii="微软雅黑" w:eastAsia="微软雅黑" w:hAnsi="微软雅黑" w:cs="黑体" w:hint="eastAsia"/>
          <w:szCs w:val="21"/>
        </w:rPr>
        <w:t>银行信贷</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B.</w:t>
      </w:r>
      <w:r w:rsidRPr="00E51F6E">
        <w:rPr>
          <w:rFonts w:ascii="微软雅黑" w:eastAsia="微软雅黑" w:hAnsi="微软雅黑" w:cs="黑体" w:hint="eastAsia"/>
          <w:szCs w:val="21"/>
        </w:rPr>
        <w:t>投资信托</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民间借贷</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租赁融资</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【解析】本题考查的是房地产债务融资。银行信贷是房地产企业债务融资的主要资金来源。参见教材</w:t>
      </w:r>
      <w:r w:rsidRPr="00E51F6E">
        <w:rPr>
          <w:rFonts w:ascii="微软雅黑" w:eastAsia="微软雅黑" w:hAnsi="微软雅黑" w:cs="黑体" w:hint="eastAsia"/>
          <w:color w:val="000000"/>
          <w:kern w:val="0"/>
          <w:szCs w:val="21"/>
        </w:rPr>
        <w:t>P291</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33.</w:t>
      </w:r>
      <w:r w:rsidRPr="00E51F6E">
        <w:rPr>
          <w:rFonts w:ascii="微软雅黑" w:eastAsia="微软雅黑" w:hAnsi="微软雅黑" w:cs="黑体" w:hint="eastAsia"/>
          <w:szCs w:val="21"/>
        </w:rPr>
        <w:t>房地产开发企业盲目扩张导致企业资金链脆弱带来的银行贷款风险是（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A.</w:t>
      </w:r>
      <w:r w:rsidRPr="00E51F6E">
        <w:rPr>
          <w:rFonts w:ascii="微软雅黑" w:eastAsia="微软雅黑" w:hAnsi="微软雅黑" w:cs="黑体" w:hint="eastAsia"/>
          <w:szCs w:val="21"/>
        </w:rPr>
        <w:t>市场风险</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B.</w:t>
      </w:r>
      <w:r w:rsidRPr="00E51F6E">
        <w:rPr>
          <w:rFonts w:ascii="微软雅黑" w:eastAsia="微软雅黑" w:hAnsi="微软雅黑" w:cs="黑体" w:hint="eastAsia"/>
          <w:szCs w:val="21"/>
        </w:rPr>
        <w:t>经营风险</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财务</w:t>
      </w:r>
      <w:r w:rsidRPr="00E51F6E">
        <w:rPr>
          <w:rFonts w:ascii="微软雅黑" w:eastAsia="微软雅黑" w:hAnsi="微软雅黑" w:cs="黑体" w:hint="eastAsia"/>
          <w:szCs w:val="21"/>
        </w:rPr>
        <w:t>风险</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完工风险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开发贷款。经营风险是指由于房地产投资经营上的失误，造成实际经营成果偏离期望值并最终产生难以归还贷款的可能性。由于房地产贷款的项目特征非常明显，使得具体的项目风险在房地产贷款的经营性风险中占有非常显著的位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对于房地产开发企业来说，一个项目的好坏对其经营与发展有着至关重要的影响，若企业超过自身经济实力进行大规模项目建设和扩张圈地，必会导致企业的资金</w:t>
      </w:r>
      <w:proofErr w:type="gramStart"/>
      <w:r w:rsidRPr="00E51F6E">
        <w:rPr>
          <w:rFonts w:ascii="微软雅黑" w:eastAsia="微软雅黑" w:hAnsi="微软雅黑" w:cs="黑体" w:hint="eastAsia"/>
          <w:color w:val="000000"/>
          <w:kern w:val="0"/>
          <w:szCs w:val="21"/>
        </w:rPr>
        <w:t>链非常</w:t>
      </w:r>
      <w:proofErr w:type="gramEnd"/>
      <w:r w:rsidRPr="00E51F6E">
        <w:rPr>
          <w:rFonts w:ascii="微软雅黑" w:eastAsia="微软雅黑" w:hAnsi="微软雅黑" w:cs="黑体" w:hint="eastAsia"/>
          <w:color w:val="000000"/>
          <w:kern w:val="0"/>
          <w:szCs w:val="21"/>
        </w:rPr>
        <w:t>脆弱，并潜存着较大的银行风险。参见教材</w:t>
      </w:r>
      <w:r w:rsidRPr="00E51F6E">
        <w:rPr>
          <w:rFonts w:ascii="微软雅黑" w:eastAsia="微软雅黑" w:hAnsi="微软雅黑" w:cs="黑体" w:hint="eastAsia"/>
          <w:color w:val="000000"/>
          <w:kern w:val="0"/>
          <w:szCs w:val="21"/>
        </w:rPr>
        <w:t>P303</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34.</w:t>
      </w:r>
      <w:r w:rsidRPr="00E51F6E">
        <w:rPr>
          <w:rFonts w:ascii="微软雅黑" w:eastAsia="微软雅黑" w:hAnsi="微软雅黑" w:cs="黑体" w:hint="eastAsia"/>
          <w:color w:val="000000"/>
          <w:kern w:val="0"/>
          <w:szCs w:val="21"/>
        </w:rPr>
        <w:t>根据商业银行押品管理指引要求，商业银行每年应对押品至少重估一次，这有利于防范个人住房贷款的（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A.</w:t>
      </w:r>
      <w:r w:rsidRPr="00E51F6E">
        <w:rPr>
          <w:rFonts w:ascii="微软雅黑" w:eastAsia="微软雅黑" w:hAnsi="微软雅黑" w:cs="黑体" w:hint="eastAsia"/>
          <w:szCs w:val="21"/>
        </w:rPr>
        <w:t>操作风险</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B.</w:t>
      </w:r>
      <w:r w:rsidRPr="00E51F6E">
        <w:rPr>
          <w:rFonts w:ascii="微软雅黑" w:eastAsia="微软雅黑" w:hAnsi="微软雅黑" w:cs="黑体" w:hint="eastAsia"/>
          <w:szCs w:val="21"/>
        </w:rPr>
        <w:t>信用风险</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市场风险</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法律风险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抵押贷款。市场风险：在个人住房贷款业务中，贷款一般都提供房地产抵押，贷款的第二还款来源受房地产市场影响，因此也面临着较大的市场风险，特别是主要依赖未来预期收益支撑高房价的商业用房，以及期房按揭，更面临着巨大的市场风险。市场风险主要来自：市场供求风险、市场周期风险、政策性风险、变现风险和利率风险。参见教材</w:t>
      </w:r>
      <w:r w:rsidRPr="00E51F6E">
        <w:rPr>
          <w:rFonts w:ascii="微软雅黑" w:eastAsia="微软雅黑" w:hAnsi="微软雅黑" w:cs="黑体" w:hint="eastAsia"/>
          <w:color w:val="000000"/>
          <w:kern w:val="0"/>
          <w:szCs w:val="21"/>
        </w:rPr>
        <w:t>P311</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35.</w:t>
      </w:r>
      <w:r w:rsidRPr="00E51F6E">
        <w:rPr>
          <w:rFonts w:ascii="微软雅黑" w:eastAsia="微软雅黑" w:hAnsi="微软雅黑" w:cs="黑体" w:hint="eastAsia"/>
          <w:szCs w:val="21"/>
        </w:rPr>
        <w:t>当根据业主可接受的最低收益水平确定的基础租金高于市场租金时，为使基础租金低于或与市场租金持平，应首先考虑降低（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A.</w:t>
      </w:r>
      <w:r w:rsidRPr="00E51F6E">
        <w:rPr>
          <w:rFonts w:ascii="微软雅黑" w:eastAsia="微软雅黑" w:hAnsi="微软雅黑" w:cs="黑体" w:hint="eastAsia"/>
          <w:szCs w:val="21"/>
        </w:rPr>
        <w:t>目标收益</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B.</w:t>
      </w:r>
      <w:r w:rsidRPr="00E51F6E">
        <w:rPr>
          <w:rFonts w:ascii="微软雅黑" w:eastAsia="微软雅黑" w:hAnsi="微软雅黑" w:cs="黑体" w:hint="eastAsia"/>
          <w:szCs w:val="21"/>
        </w:rPr>
        <w:t>贷款利息</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运营费用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出租面积</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【解析】本题考查的是写字楼租金的确定。当算出的基础租金高于市场租金时，物业服务企业就要考虑降低运营费用以使基础租金向下调整到市场租金的水平。在参见教材</w:t>
      </w:r>
      <w:r w:rsidRPr="00E51F6E">
        <w:rPr>
          <w:rFonts w:ascii="微软雅黑" w:eastAsia="微软雅黑" w:hAnsi="微软雅黑" w:cs="黑体" w:hint="eastAsia"/>
          <w:color w:val="000000"/>
          <w:kern w:val="0"/>
          <w:szCs w:val="21"/>
        </w:rPr>
        <w:t>P351</w:t>
      </w:r>
      <w:r w:rsidRPr="00E51F6E">
        <w:rPr>
          <w:rFonts w:ascii="微软雅黑" w:eastAsia="微软雅黑" w:hAnsi="微软雅黑" w:cs="黑体" w:hint="eastAsia"/>
          <w:color w:val="000000"/>
          <w:kern w:val="0"/>
          <w:szCs w:val="21"/>
        </w:rPr>
        <w:t>。</w:t>
      </w:r>
    </w:p>
    <w:p w:rsidR="0014315C" w:rsidRPr="00E51F6E" w:rsidRDefault="0014315C">
      <w:pPr>
        <w:widowControl/>
        <w:rPr>
          <w:rFonts w:ascii="微软雅黑" w:eastAsia="微软雅黑" w:hAnsi="微软雅黑" w:cs="黑体"/>
          <w:color w:val="000000"/>
          <w:kern w:val="0"/>
          <w:szCs w:val="21"/>
        </w:rPr>
      </w:pP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二、多项选择题（共</w:t>
      </w:r>
      <w:r w:rsidRPr="00E51F6E">
        <w:rPr>
          <w:rFonts w:ascii="微软雅黑" w:eastAsia="微软雅黑" w:hAnsi="微软雅黑" w:cs="黑体" w:hint="eastAsia"/>
          <w:szCs w:val="21"/>
        </w:rPr>
        <w:t>15</w:t>
      </w:r>
      <w:r w:rsidRPr="00E51F6E">
        <w:rPr>
          <w:rFonts w:ascii="微软雅黑" w:eastAsia="微软雅黑" w:hAnsi="微软雅黑" w:cs="黑体" w:hint="eastAsia"/>
          <w:szCs w:val="21"/>
        </w:rPr>
        <w:t>题，每题</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分。每题的备选答案中有</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个或</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个以上符合题意，请在答题卡上涂黑其相应的编号。全部选对的，得</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分；错选或多选的，不得分；</w:t>
      </w:r>
      <w:proofErr w:type="gramStart"/>
      <w:r w:rsidRPr="00E51F6E">
        <w:rPr>
          <w:rFonts w:ascii="微软雅黑" w:eastAsia="微软雅黑" w:hAnsi="微软雅黑" w:cs="黑体" w:hint="eastAsia"/>
          <w:szCs w:val="21"/>
        </w:rPr>
        <w:t>少选且选择</w:t>
      </w:r>
      <w:proofErr w:type="gramEnd"/>
      <w:r w:rsidRPr="00E51F6E">
        <w:rPr>
          <w:rFonts w:ascii="微软雅黑" w:eastAsia="微软雅黑" w:hAnsi="微软雅黑" w:cs="黑体" w:hint="eastAsia"/>
          <w:szCs w:val="21"/>
        </w:rPr>
        <w:t>正确的，每个选项得</w:t>
      </w:r>
      <w:r w:rsidRPr="00E51F6E">
        <w:rPr>
          <w:rFonts w:ascii="微软雅黑" w:eastAsia="微软雅黑" w:hAnsi="微软雅黑" w:cs="黑体" w:hint="eastAsia"/>
          <w:szCs w:val="21"/>
        </w:rPr>
        <w:t>0.5</w:t>
      </w:r>
      <w:r w:rsidRPr="00E51F6E">
        <w:rPr>
          <w:rFonts w:ascii="微软雅黑" w:eastAsia="微软雅黑" w:hAnsi="微软雅黑" w:cs="黑体" w:hint="eastAsia"/>
          <w:szCs w:val="21"/>
        </w:rPr>
        <w:t>分）</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利率调升对房地产投资产生的影响有（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A.</w:t>
      </w:r>
      <w:r w:rsidRPr="00E51F6E">
        <w:rPr>
          <w:rFonts w:ascii="微软雅黑" w:eastAsia="微软雅黑" w:hAnsi="微软雅黑" w:cs="黑体" w:hint="eastAsia"/>
          <w:szCs w:val="21"/>
        </w:rPr>
        <w:t>导致房地产实际价值折损</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B.</w:t>
      </w:r>
      <w:r w:rsidRPr="00E51F6E">
        <w:rPr>
          <w:rFonts w:ascii="微软雅黑" w:eastAsia="微软雅黑" w:hAnsi="微软雅黑" w:cs="黑体" w:hint="eastAsia"/>
          <w:szCs w:val="21"/>
        </w:rPr>
        <w:t>增加收益现金流</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加大投资者融资成本</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增加市场供给</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E.</w:t>
      </w:r>
      <w:r w:rsidRPr="00E51F6E">
        <w:rPr>
          <w:rFonts w:ascii="微软雅黑" w:eastAsia="微软雅黑" w:hAnsi="微软雅黑" w:cs="黑体" w:hint="eastAsia"/>
          <w:szCs w:val="21"/>
        </w:rPr>
        <w:t>抑制市场投资需求</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ACE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【解析】本题考查的是房地产投资的系统风险。利率调升会对房地产投资产生两方面的影响：一是导轉房地产实际价值的折损，利用升高的利率对现金流折现，会使投资</w:t>
      </w:r>
      <w:r w:rsidRPr="00E51F6E">
        <w:rPr>
          <w:rFonts w:ascii="微软雅黑" w:eastAsia="微软雅黑" w:hAnsi="微软雅黑" w:cs="黑体" w:hint="eastAsia"/>
          <w:color w:val="000000"/>
          <w:kern w:val="0"/>
          <w:szCs w:val="21"/>
        </w:rPr>
        <w:t>项目的财务净现值减小，甚至出现负值；二是会加大投资者的债务负担，导致还贷困难。利率提高还会抑制房地产市场上的需求数量，从而导致房地产价格下降。参见教材</w:t>
      </w:r>
      <w:r w:rsidRPr="00E51F6E">
        <w:rPr>
          <w:rFonts w:ascii="微软雅黑" w:eastAsia="微软雅黑" w:hAnsi="微软雅黑" w:cs="黑体" w:hint="eastAsia"/>
          <w:color w:val="000000"/>
          <w:kern w:val="0"/>
          <w:szCs w:val="21"/>
        </w:rPr>
        <w:t>P19</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按照风险大小和收益水平高低，通常将房地产投资划分为（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A.</w:t>
      </w:r>
      <w:r w:rsidRPr="00E51F6E">
        <w:rPr>
          <w:rFonts w:ascii="微软雅黑" w:eastAsia="微软雅黑" w:hAnsi="微软雅黑" w:cs="黑体" w:hint="eastAsia"/>
          <w:szCs w:val="21"/>
        </w:rPr>
        <w:t>金融投资型</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B.</w:t>
      </w:r>
      <w:r w:rsidRPr="00E51F6E">
        <w:rPr>
          <w:rFonts w:ascii="微软雅黑" w:eastAsia="微软雅黑" w:hAnsi="微软雅黑" w:cs="黑体" w:hint="eastAsia"/>
          <w:szCs w:val="21"/>
        </w:rPr>
        <w:t>收益型</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C.</w:t>
      </w:r>
      <w:r w:rsidRPr="00E51F6E">
        <w:rPr>
          <w:rFonts w:ascii="微软雅黑" w:eastAsia="微软雅黑" w:hAnsi="微软雅黑" w:cs="黑体" w:hint="eastAsia"/>
          <w:szCs w:val="21"/>
        </w:rPr>
        <w:t>实物投资型</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D.</w:t>
      </w:r>
      <w:r w:rsidRPr="00E51F6E">
        <w:rPr>
          <w:rFonts w:ascii="微软雅黑" w:eastAsia="微软雅黑" w:hAnsi="微软雅黑" w:cs="黑体" w:hint="eastAsia"/>
          <w:szCs w:val="21"/>
        </w:rPr>
        <w:t>机会型</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E.</w:t>
      </w:r>
      <w:r w:rsidRPr="00E51F6E">
        <w:rPr>
          <w:rFonts w:ascii="微软雅黑" w:eastAsia="微软雅黑" w:hAnsi="微软雅黑" w:cs="黑体" w:hint="eastAsia"/>
          <w:szCs w:val="21"/>
        </w:rPr>
        <w:t>收益加增值型</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【答案】</w:t>
      </w:r>
      <w:r w:rsidRPr="00E51F6E">
        <w:rPr>
          <w:rFonts w:ascii="微软雅黑" w:eastAsia="微软雅黑" w:hAnsi="微软雅黑" w:cs="黑体" w:hint="eastAsia"/>
          <w:color w:val="000000"/>
          <w:kern w:val="0"/>
          <w:szCs w:val="21"/>
        </w:rPr>
        <w:t>BDE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【解析】本题考查的是风险对房地产投资决策的影响。按照风险大小和收益水平高低，通常将房地产投资划分为收益型、收益加增值型和机会型三种类型。参见教材</w:t>
      </w:r>
      <w:r w:rsidRPr="00E51F6E">
        <w:rPr>
          <w:rFonts w:ascii="微软雅黑" w:eastAsia="微软雅黑" w:hAnsi="微软雅黑" w:cs="黑体" w:hint="eastAsia"/>
          <w:color w:val="000000"/>
          <w:kern w:val="0"/>
          <w:szCs w:val="21"/>
        </w:rPr>
        <w:t>P22</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影响房地产市场发展的基本因素有（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社会因素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经济因素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资源因素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政策因素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技术因素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【解析】本题考查的是房地产市场的运行环境。房地产市场运行环境的影响因素中，社会因素、经济因素和政策因素，是影响房地产市场发展的基本因素。参见教材</w:t>
      </w:r>
      <w:r w:rsidRPr="00E51F6E">
        <w:rPr>
          <w:rFonts w:ascii="微软雅黑" w:eastAsia="微软雅黑" w:hAnsi="微软雅黑" w:cs="黑体" w:hint="eastAsia"/>
          <w:color w:val="000000"/>
          <w:kern w:val="0"/>
          <w:szCs w:val="21"/>
        </w:rPr>
        <w:t>P31</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w:t>
      </w:r>
      <w:r w:rsidRPr="00E51F6E">
        <w:rPr>
          <w:rFonts w:ascii="微软雅黑" w:eastAsia="微软雅黑" w:hAnsi="微软雅黑" w:cs="黑体" w:hint="eastAsia"/>
          <w:color w:val="000000"/>
          <w:kern w:val="0"/>
          <w:szCs w:val="21"/>
        </w:rPr>
        <w:t>政府在房地产市场中的主要职能有（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制定市场规则</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进行市场监管</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确定土地利用条件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制定商品房价格</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提供商业贷款</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【解析】本题考查的是房地产市场的参与者。政府及政府机构在参与房地产市场运行的过程中，既有制定规</w:t>
      </w:r>
      <w:r w:rsidRPr="00E51F6E">
        <w:rPr>
          <w:rFonts w:ascii="微软雅黑" w:eastAsia="微软雅黑" w:hAnsi="微软雅黑" w:cs="黑体" w:hint="eastAsia"/>
          <w:color w:val="000000"/>
          <w:kern w:val="0"/>
          <w:szCs w:val="21"/>
        </w:rPr>
        <w:t>则的权力，又有监督、管理的职能，在有些方面还会提供有关服务。参见教材</w:t>
      </w:r>
      <w:r w:rsidRPr="00E51F6E">
        <w:rPr>
          <w:rFonts w:ascii="微软雅黑" w:eastAsia="微软雅黑" w:hAnsi="微软雅黑" w:cs="黑体" w:hint="eastAsia"/>
          <w:color w:val="000000"/>
          <w:kern w:val="0"/>
          <w:szCs w:val="21"/>
        </w:rPr>
        <w:t>P34</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房地产开发项目竣工后，建设单位移交给城市档案馆的技术资料主要有（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前期工作资料</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土建资料</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安装资料</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租售资料</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物业管理资料</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【解析】本题考查的是竣工验收。编制竣工档案时，技术资料包括前期工作资料、土建资料和安装资料。参见教材</w:t>
      </w:r>
      <w:r w:rsidRPr="00E51F6E">
        <w:rPr>
          <w:rFonts w:ascii="微软雅黑" w:eastAsia="微软雅黑" w:hAnsi="微软雅黑" w:cs="黑体" w:hint="eastAsia"/>
          <w:color w:val="000000"/>
          <w:kern w:val="0"/>
          <w:szCs w:val="21"/>
        </w:rPr>
        <w:t>P92</w:t>
      </w:r>
      <w:r w:rsidRPr="00E51F6E">
        <w:rPr>
          <w:rFonts w:ascii="微软雅黑" w:eastAsia="微软雅黑" w:hAnsi="微软雅黑" w:cs="黑体" w:hint="eastAsia"/>
          <w:color w:val="000000"/>
          <w:kern w:val="0"/>
          <w:szCs w:val="21"/>
        </w:rPr>
        <w:t>。</w:t>
      </w:r>
    </w:p>
    <w:p w:rsidR="0014315C" w:rsidRPr="00E51F6E" w:rsidRDefault="00642AC9" w:rsidP="00E51F6E">
      <w:pPr>
        <w:widowControl/>
        <w:numPr>
          <w:ilvl w:val="0"/>
          <w:numId w:val="5"/>
        </w:numPr>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依法必须进行招标的工程建设项目中，应当采用公开招标方式确定建筑施工企业的有（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全部使用国有资金投资的建设项目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国有资金投资控股的建设项目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国有资金投资占主导地位的建设项目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民营企业资金投资控股的建设项目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全部使用民营企业资金投资的建设项目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【解析】本题考查的是工程建设招标。依法必须进行招标的项目，全部使用国有资金投资、国有资金投资控股或占主导地位的建设项目，应采用公开招标方式确定承包商。参见教材</w:t>
      </w:r>
      <w:r w:rsidRPr="00E51F6E">
        <w:rPr>
          <w:rFonts w:ascii="微软雅黑" w:eastAsia="微软雅黑" w:hAnsi="微软雅黑" w:cs="黑体" w:hint="eastAsia"/>
          <w:color w:val="000000"/>
          <w:kern w:val="0"/>
          <w:szCs w:val="21"/>
        </w:rPr>
        <w:t>P75</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7.</w:t>
      </w:r>
      <w:r w:rsidRPr="00E51F6E">
        <w:rPr>
          <w:rFonts w:ascii="微软雅黑" w:eastAsia="微软雅黑" w:hAnsi="微软雅黑" w:cs="黑体" w:hint="eastAsia"/>
          <w:color w:val="000000"/>
          <w:kern w:val="0"/>
          <w:szCs w:val="21"/>
        </w:rPr>
        <w:t>下列市场趋势分析方法中，属于时间序列分析法的有（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回归分析法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简单平均法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移动平均法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指数平滑法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市场因子推演法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BCD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【解析】本题考查的是市场趋势分析。时间序列分析法包括简单平均法、移动平均法、加权移动平均法、指数平滑法。参见教材</w:t>
      </w:r>
      <w:r w:rsidRPr="00E51F6E">
        <w:rPr>
          <w:rFonts w:ascii="微软雅黑" w:eastAsia="微软雅黑" w:hAnsi="微软雅黑" w:cs="黑体" w:hint="eastAsia"/>
          <w:color w:val="000000"/>
          <w:kern w:val="0"/>
          <w:szCs w:val="21"/>
        </w:rPr>
        <w:t>P115</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8.</w:t>
      </w:r>
      <w:r w:rsidRPr="00E51F6E">
        <w:rPr>
          <w:rFonts w:ascii="微软雅黑" w:eastAsia="微软雅黑" w:hAnsi="微软雅黑" w:cs="黑体" w:hint="eastAsia"/>
          <w:color w:val="000000"/>
          <w:kern w:val="0"/>
          <w:szCs w:val="21"/>
        </w:rPr>
        <w:t>从投资的角度看，影响资金时间价值大小的主要因素有（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投资利润率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通货膨胀率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风险因素</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存款利率</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投资规模</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【解析】本题考查的是资金时间价值的概念。资金时间价值的大小，取决于多方面的因素。从投资的角度来看主要有：</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）投资利润率，即单位投资所能取得的利润；（</w:t>
      </w: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）通货膨胀率，即对因货币贬值造成的损失所应得到的补偿；（</w:t>
      </w: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）风</w:t>
      </w:r>
      <w:r w:rsidRPr="00E51F6E">
        <w:rPr>
          <w:rFonts w:ascii="微软雅黑" w:eastAsia="微软雅黑" w:hAnsi="微软雅黑" w:cs="黑体" w:hint="eastAsia"/>
          <w:color w:val="000000"/>
          <w:kern w:val="0"/>
          <w:szCs w:val="21"/>
        </w:rPr>
        <w:t>险因素，即对因风险可能带来的损失所应获得的补偿。参见教材</w:t>
      </w:r>
      <w:r w:rsidRPr="00E51F6E">
        <w:rPr>
          <w:rFonts w:ascii="微软雅黑" w:eastAsia="微软雅黑" w:hAnsi="微软雅黑" w:cs="黑体" w:hint="eastAsia"/>
          <w:color w:val="000000"/>
          <w:kern w:val="0"/>
          <w:szCs w:val="21"/>
        </w:rPr>
        <w:t>P150</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9.</w:t>
      </w:r>
      <w:r w:rsidRPr="00E51F6E">
        <w:rPr>
          <w:rFonts w:ascii="微软雅黑" w:eastAsia="微软雅黑" w:hAnsi="微软雅黑" w:cs="黑体" w:hint="eastAsia"/>
          <w:color w:val="000000"/>
          <w:kern w:val="0"/>
          <w:szCs w:val="21"/>
        </w:rPr>
        <w:t>决定房地产投资项目基准收益率大小的主要因素有（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销售价格</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土地费用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开发规模</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资金成本</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项目风险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DE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【解析】本题考查的是财务净现值。决定基准收益率大小的因素主要是资金成本和项目风险。参见教材</w:t>
      </w:r>
      <w:r w:rsidRPr="00E51F6E">
        <w:rPr>
          <w:rFonts w:ascii="微软雅黑" w:eastAsia="微软雅黑" w:hAnsi="微软雅黑" w:cs="黑体" w:hint="eastAsia"/>
          <w:color w:val="000000"/>
          <w:kern w:val="0"/>
          <w:szCs w:val="21"/>
        </w:rPr>
        <w:t>P181</w:t>
      </w:r>
      <w:r w:rsidRPr="00E51F6E">
        <w:rPr>
          <w:rFonts w:ascii="微软雅黑" w:eastAsia="微软雅黑" w:hAnsi="微软雅黑" w:cs="黑体" w:hint="eastAsia"/>
          <w:color w:val="000000"/>
          <w:kern w:val="0"/>
          <w:szCs w:val="21"/>
        </w:rPr>
        <w:t>。</w:t>
      </w:r>
    </w:p>
    <w:p w:rsidR="0014315C" w:rsidRPr="00E51F6E" w:rsidRDefault="00642AC9">
      <w:pPr>
        <w:widowControl/>
        <w:numPr>
          <w:ilvl w:val="0"/>
          <w:numId w:val="6"/>
        </w:numPr>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效益相同的房地产投资方案，宜采用的方案经济比选方法有（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净现值法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费用现值比较法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proofErr w:type="gramStart"/>
      <w:r w:rsidRPr="00E51F6E">
        <w:rPr>
          <w:rFonts w:ascii="微软雅黑" w:eastAsia="微软雅黑" w:hAnsi="微软雅黑" w:cs="黑体" w:hint="eastAsia"/>
          <w:color w:val="000000"/>
          <w:kern w:val="0"/>
          <w:szCs w:val="21"/>
        </w:rPr>
        <w:t>等额年值</w:t>
      </w:r>
      <w:proofErr w:type="gramEnd"/>
      <w:r w:rsidRPr="00E51F6E">
        <w:rPr>
          <w:rFonts w:ascii="微软雅黑" w:eastAsia="微软雅黑" w:hAnsi="微软雅黑" w:cs="黑体" w:hint="eastAsia"/>
          <w:color w:val="000000"/>
          <w:kern w:val="0"/>
          <w:szCs w:val="21"/>
        </w:rPr>
        <w:t>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费用年值比较法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差额投资内部收益率法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【答案】</w:t>
      </w:r>
      <w:r w:rsidRPr="00E51F6E">
        <w:rPr>
          <w:rFonts w:ascii="微软雅黑" w:eastAsia="微软雅黑" w:hAnsi="微软雅黑" w:cs="黑体" w:hint="eastAsia"/>
          <w:color w:val="000000"/>
          <w:kern w:val="0"/>
          <w:szCs w:val="21"/>
        </w:rPr>
        <w:t>BD</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【解析】本题考查的是方案经济比选方法的选择。当可供比较方案的效益相同或基本相同时，可采用费用现值比较法和费用年值比较法。参见教材</w:t>
      </w:r>
      <w:r w:rsidRPr="00E51F6E">
        <w:rPr>
          <w:rFonts w:ascii="微软雅黑" w:eastAsia="微软雅黑" w:hAnsi="微软雅黑" w:cs="黑体" w:hint="eastAsia"/>
          <w:color w:val="000000"/>
          <w:kern w:val="0"/>
          <w:szCs w:val="21"/>
        </w:rPr>
        <w:t>P210</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11.</w:t>
      </w:r>
      <w:r w:rsidRPr="00E51F6E">
        <w:rPr>
          <w:rFonts w:ascii="微软雅黑" w:eastAsia="微软雅黑" w:hAnsi="微软雅黑" w:cs="黑体" w:hint="eastAsia"/>
          <w:color w:val="000000"/>
          <w:kern w:val="0"/>
          <w:szCs w:val="21"/>
        </w:rPr>
        <w:t>下列不确定性因素中，对“开发—销售”类房地产项目财务评价结果有影响的有（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土地费用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建筑安装工程费</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开发期</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运营费用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财务费用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ABCE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房地产开发项目的主要不确定性因素。对于房地产开发项目而言，涉及的主要不确定性因素有：土地费用、建筑安装工程费、租售价格、开发期与租售期、建筑容积率及有关设计参数、资本化率、贷款利率等。这些因素对房地产开发项目财务评价的结果影响很大。参见教材</w:t>
      </w:r>
      <w:r w:rsidRPr="00E51F6E">
        <w:rPr>
          <w:rFonts w:ascii="微软雅黑" w:eastAsia="微软雅黑" w:hAnsi="微软雅黑" w:cs="黑体" w:hint="eastAsia"/>
          <w:color w:val="000000"/>
          <w:kern w:val="0"/>
          <w:szCs w:val="21"/>
        </w:rPr>
        <w:t>P212</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12.</w:t>
      </w:r>
      <w:r w:rsidRPr="00E51F6E">
        <w:rPr>
          <w:rFonts w:ascii="微软雅黑" w:eastAsia="微软雅黑" w:hAnsi="微软雅黑" w:cs="黑体" w:hint="eastAsia"/>
          <w:color w:val="000000"/>
          <w:kern w:val="0"/>
          <w:szCs w:val="21"/>
        </w:rPr>
        <w:t>关于房地产投资项目敏感性分析的说法，正确的有（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敏感性分析是一种动态不确定性分析</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敏感性分析常用的方法是蒙特卡洛模拟法</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敏感性分析可以分为单因素敏感性分析和多因素敏感性分析</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通过敏感性分析能够判断项目承担风险的能力</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敏感性分析的不足可以通过概率分析加以弥补</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【答案】</w:t>
      </w:r>
      <w:r w:rsidRPr="00E51F6E">
        <w:rPr>
          <w:rFonts w:ascii="微软雅黑" w:eastAsia="微软雅黑" w:hAnsi="微软雅黑" w:cs="黑体" w:hint="eastAsia"/>
          <w:color w:val="000000"/>
          <w:kern w:val="0"/>
          <w:szCs w:val="21"/>
        </w:rPr>
        <w:t>ACDE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【解析】本题考查的是敏感性分析。选项</w:t>
      </w: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正确，敏感性分析是一种动态不确定性分析，是项目评估中不可或缺的组成部分。它用以分析项目经济效益指标对各不确定性因素的敏感程度，找出敏感性因素及其最大变动幅度，据此判断项目承担风险的能力；选项</w:t>
      </w: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错误，蒙特卡洛模拟法是风险估价与评价的方法，不是敏感性分析的方法；选项</w:t>
      </w: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正确，根据不确定性因素每次变动数目的多少，敏感性分析可以分为单因素敏感性分析和多因素敏感性分析；选项</w:t>
      </w: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正确，为了弥补敏感性分析的不足，在进行</w:t>
      </w:r>
      <w:r w:rsidRPr="00E51F6E">
        <w:rPr>
          <w:rFonts w:ascii="微软雅黑" w:eastAsia="微软雅黑" w:hAnsi="微软雅黑" w:cs="黑体" w:hint="eastAsia"/>
          <w:color w:val="000000"/>
          <w:kern w:val="0"/>
          <w:szCs w:val="21"/>
        </w:rPr>
        <w:t>项目评估和决策时，尚须进一步作概率分析。参见教材</w:t>
      </w:r>
      <w:r w:rsidRPr="00E51F6E">
        <w:rPr>
          <w:rFonts w:ascii="微软雅黑" w:eastAsia="微软雅黑" w:hAnsi="微软雅黑" w:cs="黑体" w:hint="eastAsia"/>
          <w:color w:val="000000"/>
          <w:kern w:val="0"/>
          <w:szCs w:val="21"/>
        </w:rPr>
        <w:t>P223</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229</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13.</w:t>
      </w:r>
      <w:r w:rsidRPr="00E51F6E">
        <w:rPr>
          <w:rFonts w:ascii="微软雅黑" w:eastAsia="微软雅黑" w:hAnsi="微软雅黑" w:cs="黑体" w:hint="eastAsia"/>
          <w:color w:val="000000"/>
          <w:kern w:val="0"/>
          <w:szCs w:val="21"/>
        </w:rPr>
        <w:t>房地产开发项目可行性研究中开发建设计划的主要内容有（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前期开发计划</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工程建设计划</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物业服务计划</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建设场地布置</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施工队伍选择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ABDE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【解析】本题考查的是。开发建设计划的编制：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）前期开发计划，包括从项目创意、可行性研究、获取土地使用权、委托规划设计、取得开工许可证直至完成开工前准备等一系列工作计划；（</w:t>
      </w: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）工程建设计划，包括各个单项工程的开、竣工时间，进度安排，市政工程的配套建设计划等；（</w:t>
      </w: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）建设场地的布置；（</w:t>
      </w:r>
      <w:r w:rsidRPr="00E51F6E">
        <w:rPr>
          <w:rFonts w:ascii="微软雅黑" w:eastAsia="微软雅黑" w:hAnsi="微软雅黑" w:cs="黑体" w:hint="eastAsia"/>
          <w:color w:val="000000"/>
          <w:kern w:val="0"/>
          <w:szCs w:val="21"/>
        </w:rPr>
        <w:t>4</w:t>
      </w:r>
      <w:r w:rsidRPr="00E51F6E">
        <w:rPr>
          <w:rFonts w:ascii="微软雅黑" w:eastAsia="微软雅黑" w:hAnsi="微软雅黑" w:cs="黑体" w:hint="eastAsia"/>
          <w:color w:val="000000"/>
          <w:kern w:val="0"/>
          <w:szCs w:val="21"/>
        </w:rPr>
        <w:t>）施工队伍的选择。参见教材</w:t>
      </w:r>
      <w:r w:rsidRPr="00E51F6E">
        <w:rPr>
          <w:rFonts w:ascii="微软雅黑" w:eastAsia="微软雅黑" w:hAnsi="微软雅黑" w:cs="黑体" w:hint="eastAsia"/>
          <w:color w:val="000000"/>
          <w:kern w:val="0"/>
          <w:szCs w:val="21"/>
        </w:rPr>
        <w:t>P254</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14.</w:t>
      </w:r>
      <w:r w:rsidRPr="00E51F6E">
        <w:rPr>
          <w:rFonts w:ascii="微软雅黑" w:eastAsia="微软雅黑" w:hAnsi="微软雅黑" w:cs="黑体" w:hint="eastAsia"/>
          <w:color w:val="000000"/>
          <w:kern w:val="0"/>
          <w:szCs w:val="21"/>
        </w:rPr>
        <w:t>相对于权益融资，债务融资的特点有（　）。</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资金使用有时间限制</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资金融入方须到期还本</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资金融入方须按时支付利息</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债券不可以在流通市场上转让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资金融出方要承担资金融入方的经营风险</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ABC</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【解析】本题考</w:t>
      </w:r>
      <w:r w:rsidRPr="00E51F6E">
        <w:rPr>
          <w:rFonts w:ascii="微软雅黑" w:eastAsia="微软雅黑" w:hAnsi="微软雅黑" w:cs="黑体" w:hint="eastAsia"/>
          <w:color w:val="000000"/>
          <w:kern w:val="0"/>
          <w:szCs w:val="21"/>
        </w:rPr>
        <w:t>查的是房地产债务融资。相对于权益融资，债务融资还具有以下几个特点：（</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）短期性。债务融资筹集的资金具有使用上的时间性，需到期偿还。（</w:t>
      </w: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）可逆性。企业采用债务融资方式获取资金，负有到期还本付息的义务。（</w:t>
      </w: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）负担性。企业采用债务融资方式获取资金，需支付债务利息，从而形成企业的固定负担。（</w:t>
      </w:r>
      <w:r w:rsidRPr="00E51F6E">
        <w:rPr>
          <w:rFonts w:ascii="微软雅黑" w:eastAsia="微软雅黑" w:hAnsi="微软雅黑" w:cs="黑体" w:hint="eastAsia"/>
          <w:color w:val="000000"/>
          <w:kern w:val="0"/>
          <w:szCs w:val="21"/>
        </w:rPr>
        <w:t>4</w:t>
      </w:r>
      <w:r w:rsidRPr="00E51F6E">
        <w:rPr>
          <w:rFonts w:ascii="微软雅黑" w:eastAsia="微软雅黑" w:hAnsi="微软雅黑" w:cs="黑体" w:hint="eastAsia"/>
          <w:color w:val="000000"/>
          <w:kern w:val="0"/>
          <w:szCs w:val="21"/>
        </w:rPr>
        <w:t>）流通性。债券可以在流通市场上依法转让。参见教材</w:t>
      </w:r>
      <w:r w:rsidRPr="00E51F6E">
        <w:rPr>
          <w:rFonts w:ascii="微软雅黑" w:eastAsia="微软雅黑" w:hAnsi="微软雅黑" w:cs="黑体" w:hint="eastAsia"/>
          <w:color w:val="000000"/>
          <w:kern w:val="0"/>
          <w:szCs w:val="21"/>
        </w:rPr>
        <w:t>P289</w:t>
      </w:r>
      <w:r w:rsidRPr="00E51F6E">
        <w:rPr>
          <w:rFonts w:ascii="微软雅黑" w:eastAsia="微软雅黑" w:hAnsi="微软雅黑" w:cs="黑体" w:hint="eastAsia"/>
          <w:color w:val="000000"/>
          <w:kern w:val="0"/>
          <w:szCs w:val="21"/>
        </w:rPr>
        <w:t>。</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15.</w:t>
      </w:r>
      <w:r w:rsidRPr="00E51F6E">
        <w:rPr>
          <w:rFonts w:ascii="微软雅黑" w:eastAsia="微软雅黑" w:hAnsi="微软雅黑" w:cs="黑体" w:hint="eastAsia"/>
          <w:color w:val="000000"/>
          <w:kern w:val="0"/>
          <w:szCs w:val="21"/>
        </w:rPr>
        <w:t>物业的</w:t>
      </w:r>
      <w:proofErr w:type="gramStart"/>
      <w:r w:rsidRPr="00E51F6E">
        <w:rPr>
          <w:rFonts w:ascii="微软雅黑" w:eastAsia="微软雅黑" w:hAnsi="微软雅黑" w:cs="黑体" w:hint="eastAsia"/>
          <w:color w:val="000000"/>
          <w:kern w:val="0"/>
          <w:szCs w:val="21"/>
        </w:rPr>
        <w:t>净经营</w:t>
      </w:r>
      <w:proofErr w:type="gramEnd"/>
      <w:r w:rsidRPr="00E51F6E">
        <w:rPr>
          <w:rFonts w:ascii="微软雅黑" w:eastAsia="微软雅黑" w:hAnsi="微软雅黑" w:cs="黑体" w:hint="eastAsia"/>
          <w:color w:val="000000"/>
          <w:kern w:val="0"/>
          <w:szCs w:val="21"/>
        </w:rPr>
        <w:t>收入等于潜在毛租金收入减去（　）之和后，再加上其他收入的金额。</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A.</w:t>
      </w:r>
      <w:r w:rsidRPr="00E51F6E">
        <w:rPr>
          <w:rFonts w:ascii="微软雅黑" w:eastAsia="微软雅黑" w:hAnsi="微软雅黑" w:cs="黑体" w:hint="eastAsia"/>
          <w:color w:val="000000"/>
          <w:kern w:val="0"/>
          <w:szCs w:val="21"/>
        </w:rPr>
        <w:t>抵押贷款还本付息额</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B.</w:t>
      </w:r>
      <w:r w:rsidRPr="00E51F6E">
        <w:rPr>
          <w:rFonts w:ascii="微软雅黑" w:eastAsia="微软雅黑" w:hAnsi="微软雅黑" w:cs="黑体" w:hint="eastAsia"/>
          <w:color w:val="000000"/>
          <w:kern w:val="0"/>
          <w:szCs w:val="21"/>
        </w:rPr>
        <w:t>空置损失</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C.</w:t>
      </w:r>
      <w:r w:rsidRPr="00E51F6E">
        <w:rPr>
          <w:rFonts w:ascii="微软雅黑" w:eastAsia="微软雅黑" w:hAnsi="微软雅黑" w:cs="黑体" w:hint="eastAsia"/>
          <w:color w:val="000000"/>
          <w:kern w:val="0"/>
          <w:szCs w:val="21"/>
        </w:rPr>
        <w:t>收租损失</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D.</w:t>
      </w:r>
      <w:r w:rsidRPr="00E51F6E">
        <w:rPr>
          <w:rFonts w:ascii="微软雅黑" w:eastAsia="微软雅黑" w:hAnsi="微软雅黑" w:cs="黑体" w:hint="eastAsia"/>
          <w:color w:val="000000"/>
          <w:kern w:val="0"/>
          <w:szCs w:val="21"/>
        </w:rPr>
        <w:t>折旧</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E.</w:t>
      </w:r>
      <w:r w:rsidRPr="00E51F6E">
        <w:rPr>
          <w:rFonts w:ascii="微软雅黑" w:eastAsia="微软雅黑" w:hAnsi="微软雅黑" w:cs="黑体" w:hint="eastAsia"/>
          <w:color w:val="000000"/>
          <w:kern w:val="0"/>
          <w:szCs w:val="21"/>
        </w:rPr>
        <w:t>运营费用</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BCE</w:t>
      </w:r>
    </w:p>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【解析】本题考查的是收益性物业经营状况的评估。有效毛收入</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潜在毛租金收入</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空置和收租损失</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其他收入，</w:t>
      </w:r>
      <w:proofErr w:type="gramStart"/>
      <w:r w:rsidRPr="00E51F6E">
        <w:rPr>
          <w:rFonts w:ascii="微软雅黑" w:eastAsia="微软雅黑" w:hAnsi="微软雅黑" w:cs="黑体" w:hint="eastAsia"/>
          <w:color w:val="000000"/>
          <w:kern w:val="0"/>
          <w:szCs w:val="21"/>
        </w:rPr>
        <w:t>净经营</w:t>
      </w:r>
      <w:proofErr w:type="gramEnd"/>
      <w:r w:rsidRPr="00E51F6E">
        <w:rPr>
          <w:rFonts w:ascii="微软雅黑" w:eastAsia="微软雅黑" w:hAnsi="微软雅黑" w:cs="黑体" w:hint="eastAsia"/>
          <w:color w:val="000000"/>
          <w:kern w:val="0"/>
          <w:szCs w:val="21"/>
        </w:rPr>
        <w:t>收入</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有效毛收入</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运营费用。参见教材</w:t>
      </w:r>
      <w:r w:rsidRPr="00E51F6E">
        <w:rPr>
          <w:rFonts w:ascii="微软雅黑" w:eastAsia="微软雅黑" w:hAnsi="微软雅黑" w:cs="黑体" w:hint="eastAsia"/>
          <w:color w:val="000000"/>
          <w:kern w:val="0"/>
          <w:szCs w:val="21"/>
        </w:rPr>
        <w:t>P366</w:t>
      </w:r>
      <w:r w:rsidRPr="00E51F6E">
        <w:rPr>
          <w:rFonts w:ascii="微软雅黑" w:eastAsia="微软雅黑" w:hAnsi="微软雅黑" w:cs="黑体" w:hint="eastAsia"/>
          <w:color w:val="000000"/>
          <w:kern w:val="0"/>
          <w:szCs w:val="21"/>
        </w:rPr>
        <w:t>～</w:t>
      </w:r>
      <w:r w:rsidRPr="00E51F6E">
        <w:rPr>
          <w:rFonts w:ascii="微软雅黑" w:eastAsia="微软雅黑" w:hAnsi="微软雅黑" w:cs="黑体" w:hint="eastAsia"/>
          <w:color w:val="000000"/>
          <w:kern w:val="0"/>
          <w:szCs w:val="21"/>
        </w:rPr>
        <w:t>367</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三、判断题</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房地产开发企业通过发行股票获取开发项目所需资金属于直接融资。（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【解析】本题考查的是房地产间接投资。为了降低融资成本，越来越多的大型房地产开发投资企业希望通过资本市场直接融资，以支持其开发投资计划。房地产企业通过资本市场直接融资，有首次公开发行（</w:t>
      </w:r>
      <w:r w:rsidRPr="00E51F6E">
        <w:rPr>
          <w:rFonts w:ascii="微软雅黑" w:eastAsia="微软雅黑" w:hAnsi="微软雅黑" w:cs="黑体" w:hint="eastAsia"/>
          <w:color w:val="000000"/>
          <w:kern w:val="0"/>
          <w:szCs w:val="21"/>
        </w:rPr>
        <w:t>IPO</w:t>
      </w:r>
      <w:r w:rsidRPr="00E51F6E">
        <w:rPr>
          <w:rFonts w:ascii="微软雅黑" w:eastAsia="微软雅黑" w:hAnsi="微软雅黑" w:cs="黑体" w:hint="eastAsia"/>
          <w:color w:val="000000"/>
          <w:kern w:val="0"/>
          <w:szCs w:val="21"/>
        </w:rPr>
        <w:t>）、配股、公开增发或定向增发、发行可转换债券等形式。参见教材</w:t>
      </w:r>
      <w:r w:rsidRPr="00E51F6E">
        <w:rPr>
          <w:rFonts w:ascii="微软雅黑" w:eastAsia="微软雅黑" w:hAnsi="微软雅黑" w:cs="黑体" w:hint="eastAsia"/>
          <w:color w:val="000000"/>
          <w:kern w:val="0"/>
          <w:szCs w:val="21"/>
        </w:rPr>
        <w:t>P12</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2.</w:t>
      </w:r>
      <w:r w:rsidRPr="00E51F6E">
        <w:rPr>
          <w:rFonts w:ascii="微软雅黑" w:eastAsia="微软雅黑" w:hAnsi="微软雅黑" w:cs="黑体" w:hint="eastAsia"/>
          <w:color w:val="000000"/>
          <w:kern w:val="0"/>
          <w:szCs w:val="21"/>
        </w:rPr>
        <w:t>房地产境内投资与境外投资之间的比例结构分析属于产品结构分析。（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【解析】本题考查的是房地产市场结构。投资结构：如直接投资与间接投资、开发投资与置业投资、个人投资与机构投资、境内投资与境外投资等。参见教材</w:t>
      </w:r>
      <w:r w:rsidRPr="00E51F6E">
        <w:rPr>
          <w:rFonts w:ascii="微软雅黑" w:eastAsia="微软雅黑" w:hAnsi="微软雅黑" w:cs="黑体" w:hint="eastAsia"/>
          <w:color w:val="000000"/>
          <w:kern w:val="0"/>
          <w:szCs w:val="21"/>
        </w:rPr>
        <w:t>P37</w:t>
      </w:r>
      <w:r w:rsidRPr="00E51F6E">
        <w:rPr>
          <w:rFonts w:ascii="微软雅黑" w:eastAsia="微软雅黑" w:hAnsi="微软雅黑" w:cs="黑体" w:hint="eastAsia"/>
          <w:color w:val="000000"/>
          <w:kern w:val="0"/>
          <w:szCs w:val="21"/>
        </w:rPr>
        <w:t>。</w:t>
      </w:r>
    </w:p>
    <w:p w:rsidR="0014315C" w:rsidRPr="00E51F6E" w:rsidRDefault="00642AC9">
      <w:pPr>
        <w:widowControl/>
        <w:numPr>
          <w:ilvl w:val="0"/>
          <w:numId w:val="7"/>
        </w:numPr>
        <w:shd w:val="clear" w:color="auto" w:fill="FFFFFF"/>
        <w:spacing w:line="263" w:lineRule="atLeast"/>
        <w:jc w:val="left"/>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空置率是指报告</w:t>
      </w:r>
      <w:proofErr w:type="gramStart"/>
      <w:r w:rsidRPr="00E51F6E">
        <w:rPr>
          <w:rFonts w:ascii="微软雅黑" w:eastAsia="微软雅黑" w:hAnsi="微软雅黑" w:cs="黑体" w:hint="eastAsia"/>
          <w:color w:val="000000"/>
          <w:kern w:val="0"/>
          <w:szCs w:val="21"/>
        </w:rPr>
        <w:t>期末已</w:t>
      </w:r>
      <w:proofErr w:type="gramEnd"/>
      <w:r w:rsidRPr="00E51F6E">
        <w:rPr>
          <w:rFonts w:ascii="微软雅黑" w:eastAsia="微软雅黑" w:hAnsi="微软雅黑" w:cs="黑体" w:hint="eastAsia"/>
          <w:color w:val="000000"/>
          <w:kern w:val="0"/>
          <w:szCs w:val="21"/>
        </w:rPr>
        <w:t>竣</w:t>
      </w:r>
      <w:r w:rsidRPr="00E51F6E">
        <w:rPr>
          <w:rFonts w:ascii="微软雅黑" w:eastAsia="微软雅黑" w:hAnsi="微软雅黑" w:cs="黑体" w:hint="eastAsia"/>
          <w:color w:val="000000"/>
          <w:kern w:val="0"/>
          <w:szCs w:val="21"/>
        </w:rPr>
        <w:t>工、尚未销售或出租的建筑面积与当期竣工建筑面积的比值。（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【解析】本题考查的是房地产市场指标。空置率是指报告期期末空置房屋占同期房屋存量的比例。参见教材</w:t>
      </w:r>
      <w:r w:rsidRPr="00E51F6E">
        <w:rPr>
          <w:rFonts w:ascii="微软雅黑" w:eastAsia="微软雅黑" w:hAnsi="微软雅黑" w:cs="黑体" w:hint="eastAsia"/>
          <w:color w:val="000000"/>
          <w:kern w:val="0"/>
          <w:szCs w:val="21"/>
        </w:rPr>
        <w:t>P40</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4.</w:t>
      </w:r>
      <w:r w:rsidRPr="00E51F6E">
        <w:rPr>
          <w:rFonts w:ascii="微软雅黑" w:eastAsia="微软雅黑" w:hAnsi="微软雅黑" w:cs="黑体" w:hint="eastAsia"/>
          <w:color w:val="000000"/>
          <w:kern w:val="0"/>
          <w:szCs w:val="21"/>
        </w:rPr>
        <w:t>采用资格后审的招投标，经后审不合格的投标人的投标应作废标处理。（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lastRenderedPageBreak/>
        <w:t>【解析】本题考查的是工程建设招标。采用资格后审的，经后审不合格的投标人的投标应作废标处理。参见教材</w:t>
      </w:r>
      <w:r w:rsidRPr="00E51F6E">
        <w:rPr>
          <w:rFonts w:ascii="微软雅黑" w:eastAsia="微软雅黑" w:hAnsi="微软雅黑" w:cs="黑体" w:hint="eastAsia"/>
          <w:color w:val="000000"/>
          <w:kern w:val="0"/>
          <w:szCs w:val="21"/>
        </w:rPr>
        <w:t>P78</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对房地产市场进行细分时，消费者市场细分和生产者市场细分的标准完全不同。（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【解析】本题考查的是市场细分。细分消费者市场的</w:t>
      </w:r>
      <w:r w:rsidRPr="00E51F6E">
        <w:rPr>
          <w:rFonts w:ascii="微软雅黑" w:eastAsia="微软雅黑" w:hAnsi="微软雅黑" w:cs="黑体" w:hint="eastAsia"/>
          <w:color w:val="000000"/>
          <w:kern w:val="0"/>
          <w:szCs w:val="21"/>
        </w:rPr>
        <w:t>标准，有些同样适用于生产</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者市场，如地理因素、追求的利益和使用者状况等因素参见教材</w:t>
      </w:r>
      <w:r w:rsidRPr="00E51F6E">
        <w:rPr>
          <w:rFonts w:ascii="微软雅黑" w:eastAsia="微软雅黑" w:hAnsi="微软雅黑" w:cs="黑体" w:hint="eastAsia"/>
          <w:color w:val="000000"/>
          <w:kern w:val="0"/>
          <w:szCs w:val="21"/>
        </w:rPr>
        <w:t>P119</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6.</w:t>
      </w:r>
      <w:r w:rsidRPr="00E51F6E">
        <w:rPr>
          <w:rFonts w:ascii="微软雅黑" w:eastAsia="微软雅黑" w:hAnsi="微软雅黑" w:cs="黑体" w:hint="eastAsia"/>
          <w:color w:val="000000"/>
          <w:kern w:val="0"/>
          <w:szCs w:val="21"/>
        </w:rPr>
        <w:t>从分析层次上看，区域房地产市场分析应对研究区域总的房地产市场及各专业市场的供需状况进行分析。（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【解析】本题考查的是房地产市场分析的概念与作用。区域房地产市场分析，是研究区域内所有物业类型及总的地区经济，是对某一特定地区总的房地产市场及各专业市场总的供需分析。参见教材</w:t>
      </w:r>
      <w:r w:rsidRPr="00E51F6E">
        <w:rPr>
          <w:rFonts w:ascii="微软雅黑" w:eastAsia="微软雅黑" w:hAnsi="微软雅黑" w:cs="黑体" w:hint="eastAsia"/>
          <w:color w:val="000000"/>
          <w:kern w:val="0"/>
          <w:szCs w:val="21"/>
        </w:rPr>
        <w:t>P136</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7.</w:t>
      </w:r>
      <w:r w:rsidRPr="00E51F6E">
        <w:rPr>
          <w:rFonts w:ascii="微软雅黑" w:eastAsia="微软雅黑" w:hAnsi="微软雅黑" w:cs="黑体" w:hint="eastAsia"/>
          <w:color w:val="000000"/>
          <w:kern w:val="0"/>
          <w:szCs w:val="21"/>
        </w:rPr>
        <w:t>现金流量分析中的期末惯例法，是将计息周期期间内现金流量的代数和看成在计息周期</w:t>
      </w:r>
      <w:proofErr w:type="gramStart"/>
      <w:r w:rsidRPr="00E51F6E">
        <w:rPr>
          <w:rFonts w:ascii="微软雅黑" w:eastAsia="微软雅黑" w:hAnsi="微软雅黑" w:cs="黑体" w:hint="eastAsia"/>
          <w:color w:val="000000"/>
          <w:kern w:val="0"/>
          <w:szCs w:val="21"/>
        </w:rPr>
        <w:t>末发生</w:t>
      </w:r>
      <w:proofErr w:type="gramEnd"/>
      <w:r w:rsidRPr="00E51F6E">
        <w:rPr>
          <w:rFonts w:ascii="微软雅黑" w:eastAsia="微软雅黑" w:hAnsi="微软雅黑" w:cs="黑体" w:hint="eastAsia"/>
          <w:color w:val="000000"/>
          <w:kern w:val="0"/>
          <w:szCs w:val="21"/>
        </w:rPr>
        <w:t>的一种简化分析法。（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【解析】本题考查的是现金流量图。为了简化计算，公认的习惯方法是将其代数和看成是在计息周期的期末发生，称为期末惯例法。参见教材</w:t>
      </w:r>
      <w:r w:rsidRPr="00E51F6E">
        <w:rPr>
          <w:rFonts w:ascii="微软雅黑" w:eastAsia="微软雅黑" w:hAnsi="微软雅黑" w:cs="黑体" w:hint="eastAsia"/>
          <w:color w:val="000000"/>
          <w:kern w:val="0"/>
          <w:szCs w:val="21"/>
        </w:rPr>
        <w:t>P146</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8.</w:t>
      </w:r>
      <w:r w:rsidRPr="00E51F6E">
        <w:rPr>
          <w:rFonts w:ascii="微软雅黑" w:eastAsia="微软雅黑" w:hAnsi="微软雅黑" w:cs="黑体" w:hint="eastAsia"/>
          <w:color w:val="000000"/>
          <w:kern w:val="0"/>
          <w:szCs w:val="21"/>
        </w:rPr>
        <w:t>在资金</w:t>
      </w:r>
      <w:proofErr w:type="gramStart"/>
      <w:r w:rsidRPr="00E51F6E">
        <w:rPr>
          <w:rFonts w:ascii="微软雅黑" w:eastAsia="微软雅黑" w:hAnsi="微软雅黑" w:cs="黑体" w:hint="eastAsia"/>
          <w:color w:val="000000"/>
          <w:kern w:val="0"/>
          <w:szCs w:val="21"/>
        </w:rPr>
        <w:t>等效值</w:t>
      </w:r>
      <w:proofErr w:type="gramEnd"/>
      <w:r w:rsidRPr="00E51F6E">
        <w:rPr>
          <w:rFonts w:ascii="微软雅黑" w:eastAsia="微软雅黑" w:hAnsi="微软雅黑" w:cs="黑体" w:hint="eastAsia"/>
          <w:color w:val="000000"/>
          <w:kern w:val="0"/>
          <w:szCs w:val="21"/>
        </w:rPr>
        <w:t>的计算过程中，终值是指资金运动结束时与现值等值的金额。（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lastRenderedPageBreak/>
        <w:t>【解析】本题考查的是资金</w:t>
      </w:r>
      <w:proofErr w:type="gramStart"/>
      <w:r w:rsidRPr="00E51F6E">
        <w:rPr>
          <w:rFonts w:ascii="微软雅黑" w:eastAsia="微软雅黑" w:hAnsi="微软雅黑" w:cs="黑体" w:hint="eastAsia"/>
          <w:color w:val="000000"/>
          <w:kern w:val="0"/>
          <w:szCs w:val="21"/>
        </w:rPr>
        <w:t>等效值</w:t>
      </w:r>
      <w:proofErr w:type="gramEnd"/>
      <w:r w:rsidRPr="00E51F6E">
        <w:rPr>
          <w:rFonts w:ascii="微软雅黑" w:eastAsia="微软雅黑" w:hAnsi="微软雅黑" w:cs="黑体" w:hint="eastAsia"/>
          <w:color w:val="000000"/>
          <w:kern w:val="0"/>
          <w:szCs w:val="21"/>
        </w:rPr>
        <w:t>的概念。把资金运动结束时与现值等值的金额称为终值或未来值。参见教材</w:t>
      </w:r>
      <w:r w:rsidRPr="00E51F6E">
        <w:rPr>
          <w:rFonts w:ascii="微软雅黑" w:eastAsia="微软雅黑" w:hAnsi="微软雅黑" w:cs="黑体" w:hint="eastAsia"/>
          <w:color w:val="000000"/>
          <w:kern w:val="0"/>
          <w:szCs w:val="21"/>
        </w:rPr>
        <w:t>P156</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9.</w:t>
      </w:r>
      <w:r w:rsidRPr="00E51F6E">
        <w:rPr>
          <w:rFonts w:ascii="微软雅黑" w:eastAsia="微软雅黑" w:hAnsi="微软雅黑" w:cs="黑体" w:hint="eastAsia"/>
          <w:color w:val="000000"/>
          <w:kern w:val="0"/>
          <w:szCs w:val="21"/>
        </w:rPr>
        <w:t>房地产开发项目的“开发—销售”模式是房地产开发企业积累固定资产的主要方式。（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投资与成本。对于“开发—销售”模式下的房地产开发项目而言，开发商所投入的开发建设投资大部分形成了建筑物或构筑物等以固定资产形式存在的开发产品，开发商通过项目开发过程中的预售或建成后的销售活动，转让了这些固定资产的所有权或使用权，所以开发过程中所形成的开发企业固定资产，大多数情况下很少甚至是零，开发建设投资基本上都一次性地转移到房地产产品成本中去了，房地产开发总投资基本等于总成本费用。参见教材</w:t>
      </w:r>
      <w:r w:rsidRPr="00E51F6E">
        <w:rPr>
          <w:rFonts w:ascii="微软雅黑" w:eastAsia="微软雅黑" w:hAnsi="微软雅黑" w:cs="黑体" w:hint="eastAsia"/>
          <w:color w:val="000000"/>
          <w:kern w:val="0"/>
          <w:szCs w:val="21"/>
        </w:rPr>
        <w:t>P170</w:t>
      </w:r>
      <w:r w:rsidRPr="00E51F6E">
        <w:rPr>
          <w:rFonts w:ascii="微软雅黑" w:eastAsia="微软雅黑" w:hAnsi="微软雅黑" w:cs="黑体" w:hint="eastAsia"/>
          <w:color w:val="000000"/>
          <w:kern w:val="0"/>
          <w:szCs w:val="21"/>
        </w:rPr>
        <w:t>。</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10.</w:t>
      </w:r>
      <w:r w:rsidRPr="00E51F6E">
        <w:rPr>
          <w:rFonts w:ascii="微软雅黑" w:eastAsia="微软雅黑" w:hAnsi="微软雅黑" w:cs="黑体" w:hint="eastAsia"/>
          <w:color w:val="000000"/>
          <w:kern w:val="0"/>
          <w:szCs w:val="21"/>
        </w:rPr>
        <w:t>某房地产开发项目的成本利润率为</w:t>
      </w:r>
      <w:r w:rsidRPr="00E51F6E">
        <w:rPr>
          <w:rFonts w:ascii="微软雅黑" w:eastAsia="微软雅黑" w:hAnsi="微软雅黑" w:cs="黑体" w:hint="eastAsia"/>
          <w:color w:val="000000"/>
          <w:kern w:val="0"/>
          <w:szCs w:val="21"/>
        </w:rPr>
        <w:t>45%</w:t>
      </w:r>
      <w:r w:rsidRPr="00E51F6E">
        <w:rPr>
          <w:rFonts w:ascii="微软雅黑" w:eastAsia="微软雅黑" w:hAnsi="微软雅黑" w:cs="黑体" w:hint="eastAsia"/>
          <w:color w:val="000000"/>
          <w:kern w:val="0"/>
          <w:szCs w:val="21"/>
        </w:rPr>
        <w:t>，开发周期为</w:t>
      </w:r>
      <w:r w:rsidRPr="00E51F6E">
        <w:rPr>
          <w:rFonts w:ascii="微软雅黑" w:eastAsia="微软雅黑" w:hAnsi="微软雅黑" w:cs="黑体" w:hint="eastAsia"/>
          <w:color w:val="000000"/>
          <w:kern w:val="0"/>
          <w:szCs w:val="21"/>
        </w:rPr>
        <w:t>3</w:t>
      </w:r>
      <w:r w:rsidRPr="00E51F6E">
        <w:rPr>
          <w:rFonts w:ascii="微软雅黑" w:eastAsia="微软雅黑" w:hAnsi="微软雅黑" w:cs="黑体" w:hint="eastAsia"/>
          <w:color w:val="000000"/>
          <w:kern w:val="0"/>
          <w:szCs w:val="21"/>
        </w:rPr>
        <w:t>年，则该项目的年成本利润率为</w:t>
      </w:r>
      <w:r w:rsidRPr="00E51F6E">
        <w:rPr>
          <w:rFonts w:ascii="微软雅黑" w:eastAsia="微软雅黑" w:hAnsi="微软雅黑" w:cs="黑体" w:hint="eastAsia"/>
          <w:color w:val="000000"/>
          <w:kern w:val="0"/>
          <w:szCs w:val="21"/>
        </w:rPr>
        <w:t>1</w:t>
      </w:r>
      <w:r w:rsidRPr="00E51F6E">
        <w:rPr>
          <w:rFonts w:ascii="微软雅黑" w:eastAsia="微软雅黑" w:hAnsi="微软雅黑" w:cs="黑体" w:hint="eastAsia"/>
          <w:color w:val="000000"/>
          <w:kern w:val="0"/>
          <w:szCs w:val="21"/>
        </w:rPr>
        <w:t>5%</w:t>
      </w:r>
      <w:r w:rsidRPr="00E51F6E">
        <w:rPr>
          <w:rFonts w:ascii="微软雅黑" w:eastAsia="微软雅黑" w:hAnsi="微软雅黑" w:cs="黑体" w:hint="eastAsia"/>
          <w:color w:val="000000"/>
          <w:kern w:val="0"/>
          <w:szCs w:val="21"/>
        </w:rPr>
        <w:t>。（　）</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【答案】×</w:t>
      </w:r>
    </w:p>
    <w:p w:rsidR="0014315C" w:rsidRPr="00E51F6E" w:rsidRDefault="00642AC9">
      <w:pPr>
        <w:widowControl/>
        <w:shd w:val="clear" w:color="auto" w:fill="FFFFFF"/>
        <w:spacing w:line="263" w:lineRule="atLeast"/>
        <w:jc w:val="left"/>
        <w:rPr>
          <w:rFonts w:ascii="微软雅黑" w:eastAsia="微软雅黑" w:hAnsi="微软雅黑" w:cs="黑体"/>
          <w:color w:val="000080"/>
          <w:kern w:val="0"/>
          <w:szCs w:val="21"/>
        </w:rPr>
      </w:pPr>
      <w:r w:rsidRPr="00E51F6E">
        <w:rPr>
          <w:rFonts w:ascii="微软雅黑" w:eastAsia="微软雅黑" w:hAnsi="微软雅黑" w:cs="黑体" w:hint="eastAsia"/>
          <w:color w:val="000000"/>
          <w:kern w:val="0"/>
          <w:szCs w:val="21"/>
        </w:rPr>
        <w:t>【解析】本题考查的是成本利润率与销售利润率。成本利润率是开发经营期的利润率，不是年利润率。成本利润率除以开发经营期的年数，也不等于年成本利润率，因为开发成本在开发经营期内逐渐发生，而不是在开发经营期开始时一次投人。参见教材</w:t>
      </w:r>
      <w:r w:rsidRPr="00E51F6E">
        <w:rPr>
          <w:rFonts w:ascii="微软雅黑" w:eastAsia="微软雅黑" w:hAnsi="微软雅黑" w:cs="黑体" w:hint="eastAsia"/>
          <w:color w:val="000000"/>
          <w:kern w:val="0"/>
          <w:szCs w:val="21"/>
        </w:rPr>
        <w:t>P189</w:t>
      </w:r>
      <w:r w:rsidRPr="00E51F6E">
        <w:rPr>
          <w:rFonts w:ascii="微软雅黑" w:eastAsia="微软雅黑" w:hAnsi="微软雅黑" w:cs="黑体" w:hint="eastAsia"/>
          <w:color w:val="000000"/>
          <w:kern w:val="0"/>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11.</w:t>
      </w:r>
      <w:r w:rsidRPr="00E51F6E">
        <w:rPr>
          <w:rFonts w:ascii="微软雅黑" w:eastAsia="微软雅黑" w:hAnsi="微软雅黑" w:cs="黑体" w:hint="eastAsia"/>
          <w:szCs w:val="21"/>
        </w:rPr>
        <w:t>风险承受能力较强的房地产置业投资者，倾向于选用较高的权益投资比率。（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【解析】本题考查的是房地产置业投资项目的主要不确定性因素。通常情况下，当长期抵押贷款利率较低、资金可获得性较好时，风险承受能力较强的投资者喜欢选用较低的权益投资</w:t>
      </w:r>
      <w:r w:rsidRPr="00E51F6E">
        <w:rPr>
          <w:rFonts w:ascii="微软雅黑" w:eastAsia="微软雅黑" w:hAnsi="微软雅黑" w:cs="黑体" w:hint="eastAsia"/>
          <w:szCs w:val="21"/>
        </w:rPr>
        <w:lastRenderedPageBreak/>
        <w:t>比率。参见教材</w:t>
      </w:r>
      <w:r w:rsidRPr="00E51F6E">
        <w:rPr>
          <w:rFonts w:ascii="微软雅黑" w:eastAsia="微软雅黑" w:hAnsi="微软雅黑" w:cs="黑体" w:hint="eastAsia"/>
          <w:szCs w:val="21"/>
        </w:rPr>
        <w:t>P216</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12.</w:t>
      </w:r>
      <w:r w:rsidRPr="00E51F6E">
        <w:rPr>
          <w:rFonts w:ascii="微软雅黑" w:eastAsia="微软雅黑" w:hAnsi="微软雅黑" w:cs="黑体" w:hint="eastAsia"/>
          <w:szCs w:val="21"/>
        </w:rPr>
        <w:t>房地产开发项目的建筑安装工程费不包括电梯的采购费用。（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解析】本题考查的是投资估算。建筑安装工程费是指建造房屋建筑物所发生的建筑工程费用（结构、建筑、特殊装修工程费）、设备采购费用和安装工程费用（给排水、电气照明、空调通风、弱电、电梯、其他设备的采购及安装等）等。参见教材</w:t>
      </w:r>
      <w:r w:rsidRPr="00E51F6E">
        <w:rPr>
          <w:rFonts w:ascii="微软雅黑" w:eastAsia="微软雅黑" w:hAnsi="微软雅黑" w:cs="黑体" w:hint="eastAsia"/>
          <w:szCs w:val="21"/>
        </w:rPr>
        <w:t>P260</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13.</w:t>
      </w:r>
      <w:r w:rsidRPr="00E51F6E">
        <w:rPr>
          <w:rFonts w:ascii="微软雅黑" w:eastAsia="微软雅黑" w:hAnsi="微软雅黑" w:cs="黑体" w:hint="eastAsia"/>
          <w:szCs w:val="21"/>
        </w:rPr>
        <w:t>编制房地产开发项目策划方案，应以房地产市场分析和</w:t>
      </w:r>
      <w:proofErr w:type="gramStart"/>
      <w:r w:rsidRPr="00E51F6E">
        <w:rPr>
          <w:rFonts w:ascii="微软雅黑" w:eastAsia="微软雅黑" w:hAnsi="微软雅黑" w:cs="黑体" w:hint="eastAsia"/>
          <w:szCs w:val="21"/>
        </w:rPr>
        <w:t>拟开发</w:t>
      </w:r>
      <w:proofErr w:type="gramEnd"/>
      <w:r w:rsidRPr="00E51F6E">
        <w:rPr>
          <w:rFonts w:ascii="微软雅黑" w:eastAsia="微软雅黑" w:hAnsi="微软雅黑" w:cs="黑体" w:hint="eastAsia"/>
          <w:szCs w:val="21"/>
        </w:rPr>
        <w:t>项目分析为基础。（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【解析】本题考查的是房地产开发项目策划。以房地产市场分析及拟开发项目分析为基础，就可以形成一个项目的策划方案，用以指导后续开发投资活动。参见教材</w:t>
      </w:r>
      <w:r w:rsidRPr="00E51F6E">
        <w:rPr>
          <w:rFonts w:ascii="微软雅黑" w:eastAsia="微软雅黑" w:hAnsi="微软雅黑" w:cs="黑体" w:hint="eastAsia"/>
          <w:szCs w:val="21"/>
        </w:rPr>
        <w:t>P256</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14.</w:t>
      </w:r>
      <w:r w:rsidRPr="00E51F6E">
        <w:rPr>
          <w:rFonts w:ascii="微软雅黑" w:eastAsia="微软雅黑" w:hAnsi="微软雅黑" w:cs="黑体" w:hint="eastAsia"/>
          <w:szCs w:val="21"/>
        </w:rPr>
        <w:t>权益型房地产投资信托基金的主要收入来源是抵押贷款的利息收入。（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【解析】本题考查的是房地产投资信托基金分类与组织形式和结构。权益型</w:t>
      </w:r>
      <w:r w:rsidRPr="00E51F6E">
        <w:rPr>
          <w:rFonts w:ascii="微软雅黑" w:eastAsia="微软雅黑" w:hAnsi="微软雅黑" w:cs="黑体" w:hint="eastAsia"/>
          <w:szCs w:val="21"/>
        </w:rPr>
        <w:t>REITs</w:t>
      </w:r>
      <w:r w:rsidRPr="00E51F6E">
        <w:rPr>
          <w:rFonts w:ascii="微软雅黑" w:eastAsia="微软雅黑" w:hAnsi="微软雅黑" w:cs="黑体" w:hint="eastAsia"/>
          <w:szCs w:val="21"/>
        </w:rPr>
        <w:t>是以收益性物业的出租、经营管理和开发为主营业务，主要收入是房地产出租收入；抵押型</w:t>
      </w:r>
      <w:r w:rsidRPr="00E51F6E">
        <w:rPr>
          <w:rFonts w:ascii="微软雅黑" w:eastAsia="微软雅黑" w:hAnsi="微软雅黑" w:cs="黑体" w:hint="eastAsia"/>
          <w:szCs w:val="21"/>
        </w:rPr>
        <w:t>REITs</w:t>
      </w:r>
      <w:r w:rsidRPr="00E51F6E">
        <w:rPr>
          <w:rFonts w:ascii="微软雅黑" w:eastAsia="微软雅黑" w:hAnsi="微软雅黑" w:cs="黑体" w:hint="eastAsia"/>
          <w:szCs w:val="21"/>
        </w:rPr>
        <w:t>主要为房地产开发商和置业投资者提供抵押贷款服务，或经营抵押贷款支持证券（</w:t>
      </w:r>
      <w:r w:rsidRPr="00E51F6E">
        <w:rPr>
          <w:rFonts w:ascii="微软雅黑" w:eastAsia="微软雅黑" w:hAnsi="微软雅黑" w:cs="黑体" w:hint="eastAsia"/>
          <w:szCs w:val="21"/>
        </w:rPr>
        <w:t>MBS</w:t>
      </w:r>
      <w:r w:rsidRPr="00E51F6E">
        <w:rPr>
          <w:rFonts w:ascii="微软雅黑" w:eastAsia="微软雅黑" w:hAnsi="微软雅黑" w:cs="黑体" w:hint="eastAsia"/>
          <w:szCs w:val="21"/>
        </w:rPr>
        <w:t>）业务，主要收入来源是抵押</w:t>
      </w:r>
      <w:r w:rsidRPr="00E51F6E">
        <w:rPr>
          <w:rFonts w:ascii="微软雅黑" w:eastAsia="微软雅黑" w:hAnsi="微软雅黑" w:cs="黑体" w:hint="eastAsia"/>
          <w:szCs w:val="21"/>
        </w:rPr>
        <w:t>贷款的利息收入。参见教材</w:t>
      </w:r>
      <w:r w:rsidRPr="00E51F6E">
        <w:rPr>
          <w:rFonts w:ascii="微软雅黑" w:eastAsia="微软雅黑" w:hAnsi="微软雅黑" w:cs="黑体" w:hint="eastAsia"/>
          <w:szCs w:val="21"/>
        </w:rPr>
        <w:t>P320</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15.</w:t>
      </w:r>
      <w:r w:rsidRPr="00E51F6E">
        <w:rPr>
          <w:rFonts w:ascii="微软雅黑" w:eastAsia="微软雅黑" w:hAnsi="微软雅黑" w:cs="黑体" w:hint="eastAsia"/>
          <w:szCs w:val="21"/>
        </w:rPr>
        <w:t>零售商业物业的辐射区域和影响范围因其规模、类型、位置的不同而有较大差异。（　）</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【解析】本题考查的是零售商业物业分析。对于每一个零售商业物业来说，不管其规模大小如何，都有其辐射区域和影响范围，但这些辐射区域和影响范围的大小，</w:t>
      </w:r>
      <w:proofErr w:type="gramStart"/>
      <w:r w:rsidRPr="00E51F6E">
        <w:rPr>
          <w:rFonts w:ascii="微软雅黑" w:eastAsia="微软雅黑" w:hAnsi="微软雅黑" w:cs="黑体" w:hint="eastAsia"/>
          <w:szCs w:val="21"/>
        </w:rPr>
        <w:t>则随每一宗</w:t>
      </w:r>
      <w:proofErr w:type="gramEnd"/>
      <w:r w:rsidRPr="00E51F6E">
        <w:rPr>
          <w:rFonts w:ascii="微软雅黑" w:eastAsia="微软雅黑" w:hAnsi="微软雅黑" w:cs="黑体" w:hint="eastAsia"/>
          <w:szCs w:val="21"/>
        </w:rPr>
        <w:t>具体零</w:t>
      </w:r>
      <w:r w:rsidRPr="00E51F6E">
        <w:rPr>
          <w:rFonts w:ascii="微软雅黑" w:eastAsia="微软雅黑" w:hAnsi="微软雅黑" w:cs="黑体" w:hint="eastAsia"/>
          <w:szCs w:val="21"/>
        </w:rPr>
        <w:lastRenderedPageBreak/>
        <w:t>售商业物业的规模、类型、位置不同而有较大差异。参见教材</w:t>
      </w:r>
      <w:r w:rsidRPr="00E51F6E">
        <w:rPr>
          <w:rFonts w:ascii="微软雅黑" w:eastAsia="微软雅黑" w:hAnsi="微软雅黑" w:cs="黑体" w:hint="eastAsia"/>
          <w:szCs w:val="21"/>
        </w:rPr>
        <w:t>P357</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四、计算题</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某房地产开发企业以</w:t>
      </w:r>
      <w:r w:rsidRPr="00E51F6E">
        <w:rPr>
          <w:rFonts w:ascii="微软雅黑" w:eastAsia="微软雅黑" w:hAnsi="微软雅黑" w:cs="黑体" w:hint="eastAsia"/>
          <w:szCs w:val="21"/>
        </w:rPr>
        <w:t>16000</w:t>
      </w:r>
      <w:r w:rsidRPr="00E51F6E">
        <w:rPr>
          <w:rFonts w:ascii="微软雅黑" w:eastAsia="微软雅黑" w:hAnsi="微软雅黑" w:cs="黑体" w:hint="eastAsia"/>
          <w:szCs w:val="21"/>
        </w:rPr>
        <w:t>万元购得一宗房地产开发项目用地，预计该项目建安成本为</w:t>
      </w:r>
      <w:r w:rsidRPr="00E51F6E">
        <w:rPr>
          <w:rFonts w:ascii="微软雅黑" w:eastAsia="微软雅黑" w:hAnsi="微软雅黑" w:cs="黑体" w:hint="eastAsia"/>
          <w:szCs w:val="21"/>
        </w:rPr>
        <w:t>31400</w:t>
      </w:r>
      <w:r w:rsidRPr="00E51F6E">
        <w:rPr>
          <w:rFonts w:ascii="微软雅黑" w:eastAsia="微软雅黑" w:hAnsi="微软雅黑" w:cs="黑体" w:hint="eastAsia"/>
          <w:szCs w:val="21"/>
        </w:rPr>
        <w:t>万元，其他费用为</w:t>
      </w:r>
      <w:r w:rsidRPr="00E51F6E">
        <w:rPr>
          <w:rFonts w:ascii="微软雅黑" w:eastAsia="微软雅黑" w:hAnsi="微软雅黑" w:cs="黑体" w:hint="eastAsia"/>
          <w:szCs w:val="21"/>
        </w:rPr>
        <w:t>6000</w:t>
      </w:r>
      <w:r w:rsidRPr="00E51F6E">
        <w:rPr>
          <w:rFonts w:ascii="微软雅黑" w:eastAsia="微软雅黑" w:hAnsi="微软雅黑" w:cs="黑体" w:hint="eastAsia"/>
          <w:szCs w:val="21"/>
        </w:rPr>
        <w:t>万元，总销售收入为</w:t>
      </w:r>
      <w:r w:rsidRPr="00E51F6E">
        <w:rPr>
          <w:rFonts w:ascii="微软雅黑" w:eastAsia="微软雅黑" w:hAnsi="微软雅黑" w:cs="黑体" w:hint="eastAsia"/>
          <w:szCs w:val="21"/>
        </w:rPr>
        <w:t>8</w:t>
      </w:r>
      <w:r w:rsidRPr="00E51F6E">
        <w:rPr>
          <w:rFonts w:ascii="微软雅黑" w:eastAsia="微软雅黑" w:hAnsi="微软雅黑" w:cs="黑体" w:hint="eastAsia"/>
          <w:szCs w:val="21"/>
        </w:rPr>
        <w:t>8600</w:t>
      </w:r>
      <w:r w:rsidRPr="00E51F6E">
        <w:rPr>
          <w:rFonts w:ascii="微软雅黑" w:eastAsia="微软雅黑" w:hAnsi="微软雅黑" w:cs="黑体" w:hint="eastAsia"/>
          <w:szCs w:val="21"/>
        </w:rPr>
        <w:t>万元。项目土地取得费用发生在期初，建安成本和其他费用的投入比例如下表所示。若银行贷款年利率为</w:t>
      </w:r>
      <w:r w:rsidRPr="00E51F6E">
        <w:rPr>
          <w:rFonts w:ascii="微软雅黑" w:eastAsia="微软雅黑" w:hAnsi="微软雅黑" w:cs="黑体" w:hint="eastAsia"/>
          <w:szCs w:val="21"/>
        </w:rPr>
        <w:t>12%</w:t>
      </w:r>
      <w:r w:rsidRPr="00E51F6E">
        <w:rPr>
          <w:rFonts w:ascii="微软雅黑" w:eastAsia="微软雅黑" w:hAnsi="微软雅黑" w:cs="黑体" w:hint="eastAsia"/>
          <w:szCs w:val="21"/>
        </w:rPr>
        <w:t>（不考虑其他融资费用），按季度计息，增值税和税金及附加按销售收入的</w:t>
      </w:r>
      <w:r w:rsidRPr="00E51F6E">
        <w:rPr>
          <w:rFonts w:ascii="微软雅黑" w:eastAsia="微软雅黑" w:hAnsi="微软雅黑" w:cs="黑体" w:hint="eastAsia"/>
          <w:szCs w:val="21"/>
        </w:rPr>
        <w:t>5.5%</w:t>
      </w:r>
      <w:r w:rsidRPr="00E51F6E">
        <w:rPr>
          <w:rFonts w:ascii="微软雅黑" w:eastAsia="微软雅黑" w:hAnsi="微软雅黑" w:cs="黑体" w:hint="eastAsia"/>
          <w:szCs w:val="21"/>
        </w:rPr>
        <w:t>估算，请完成下表，并用现金流法计算该项目的成本利润率（</w:t>
      </w:r>
      <w:r w:rsidRPr="00E51F6E">
        <w:rPr>
          <w:rFonts w:ascii="微软雅黑" w:eastAsia="微软雅黑" w:hAnsi="微软雅黑" w:cs="黑体" w:hint="eastAsia"/>
          <w:szCs w:val="21"/>
        </w:rPr>
        <w:t>8</w:t>
      </w:r>
      <w:r w:rsidRPr="00E51F6E">
        <w:rPr>
          <w:rFonts w:ascii="微软雅黑" w:eastAsia="微软雅黑" w:hAnsi="微软雅黑" w:cs="黑体" w:hint="eastAsia"/>
          <w:szCs w:val="21"/>
        </w:rPr>
        <w:t>分）</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6"/>
        <w:gridCol w:w="996"/>
        <w:gridCol w:w="969"/>
        <w:gridCol w:w="969"/>
        <w:gridCol w:w="969"/>
        <w:gridCol w:w="969"/>
        <w:gridCol w:w="969"/>
        <w:gridCol w:w="969"/>
        <w:gridCol w:w="856"/>
        <w:gridCol w:w="804"/>
      </w:tblGrid>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季度（末）</w:t>
            </w:r>
          </w:p>
        </w:tc>
        <w:tc>
          <w:tcPr>
            <w:tcW w:w="99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0</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4</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5</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6</w:t>
            </w:r>
          </w:p>
        </w:tc>
        <w:tc>
          <w:tcPr>
            <w:tcW w:w="85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7</w:t>
            </w:r>
          </w:p>
        </w:tc>
        <w:tc>
          <w:tcPr>
            <w:tcW w:w="804"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8</w:t>
            </w: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土地取得费用</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856" w:type="dxa"/>
          </w:tcPr>
          <w:p w:rsidR="0014315C" w:rsidRPr="00E51F6E" w:rsidRDefault="0014315C">
            <w:pPr>
              <w:rPr>
                <w:rFonts w:ascii="微软雅黑" w:eastAsia="微软雅黑" w:hAnsi="微软雅黑" w:cs="黑体"/>
                <w:szCs w:val="21"/>
              </w:rPr>
            </w:pPr>
          </w:p>
        </w:tc>
        <w:tc>
          <w:tcPr>
            <w:tcW w:w="804" w:type="dxa"/>
          </w:tcPr>
          <w:p w:rsidR="0014315C" w:rsidRPr="00E51F6E" w:rsidRDefault="0014315C">
            <w:pPr>
              <w:rPr>
                <w:rFonts w:ascii="微软雅黑" w:eastAsia="微软雅黑" w:hAnsi="微软雅黑" w:cs="黑体"/>
                <w:szCs w:val="21"/>
              </w:rPr>
            </w:pP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建安成本和其他费用投入比例</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5%</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15%</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20%</w:t>
            </w:r>
          </w:p>
        </w:tc>
        <w:tc>
          <w:tcPr>
            <w:tcW w:w="969"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20%</w:t>
            </w:r>
          </w:p>
        </w:tc>
        <w:tc>
          <w:tcPr>
            <w:tcW w:w="85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15%</w:t>
            </w:r>
          </w:p>
        </w:tc>
        <w:tc>
          <w:tcPr>
            <w:tcW w:w="804"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5%</w:t>
            </w: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建安成本</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856" w:type="dxa"/>
          </w:tcPr>
          <w:p w:rsidR="0014315C" w:rsidRPr="00E51F6E" w:rsidRDefault="0014315C">
            <w:pPr>
              <w:rPr>
                <w:rFonts w:ascii="微软雅黑" w:eastAsia="微软雅黑" w:hAnsi="微软雅黑" w:cs="黑体"/>
                <w:szCs w:val="21"/>
              </w:rPr>
            </w:pPr>
          </w:p>
        </w:tc>
        <w:tc>
          <w:tcPr>
            <w:tcW w:w="804" w:type="dxa"/>
          </w:tcPr>
          <w:p w:rsidR="0014315C" w:rsidRPr="00E51F6E" w:rsidRDefault="0014315C">
            <w:pPr>
              <w:rPr>
                <w:rFonts w:ascii="微软雅黑" w:eastAsia="微软雅黑" w:hAnsi="微软雅黑" w:cs="黑体"/>
                <w:szCs w:val="21"/>
              </w:rPr>
            </w:pP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其他费</w:t>
            </w:r>
            <w:r w:rsidRPr="00E51F6E">
              <w:rPr>
                <w:rFonts w:ascii="微软雅黑" w:eastAsia="微软雅黑" w:hAnsi="微软雅黑" w:cs="黑体" w:hint="eastAsia"/>
                <w:szCs w:val="21"/>
              </w:rPr>
              <w:lastRenderedPageBreak/>
              <w:t>用</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856" w:type="dxa"/>
          </w:tcPr>
          <w:p w:rsidR="0014315C" w:rsidRPr="00E51F6E" w:rsidRDefault="0014315C">
            <w:pPr>
              <w:rPr>
                <w:rFonts w:ascii="微软雅黑" w:eastAsia="微软雅黑" w:hAnsi="微软雅黑" w:cs="黑体"/>
                <w:szCs w:val="21"/>
              </w:rPr>
            </w:pPr>
          </w:p>
        </w:tc>
        <w:tc>
          <w:tcPr>
            <w:tcW w:w="804" w:type="dxa"/>
          </w:tcPr>
          <w:p w:rsidR="0014315C" w:rsidRPr="00E51F6E" w:rsidRDefault="0014315C">
            <w:pPr>
              <w:rPr>
                <w:rFonts w:ascii="微软雅黑" w:eastAsia="微软雅黑" w:hAnsi="微软雅黑" w:cs="黑体"/>
                <w:szCs w:val="21"/>
              </w:rPr>
            </w:pP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利息</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856" w:type="dxa"/>
          </w:tcPr>
          <w:p w:rsidR="0014315C" w:rsidRPr="00E51F6E" w:rsidRDefault="0014315C">
            <w:pPr>
              <w:rPr>
                <w:rFonts w:ascii="微软雅黑" w:eastAsia="微软雅黑" w:hAnsi="微软雅黑" w:cs="黑体"/>
                <w:szCs w:val="21"/>
              </w:rPr>
            </w:pPr>
          </w:p>
        </w:tc>
        <w:tc>
          <w:tcPr>
            <w:tcW w:w="804" w:type="dxa"/>
          </w:tcPr>
          <w:p w:rsidR="0014315C" w:rsidRPr="00E51F6E" w:rsidRDefault="0014315C">
            <w:pPr>
              <w:rPr>
                <w:rFonts w:ascii="微软雅黑" w:eastAsia="微软雅黑" w:hAnsi="微软雅黑" w:cs="黑体"/>
                <w:szCs w:val="21"/>
              </w:rPr>
            </w:pP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合计</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856" w:type="dxa"/>
          </w:tcPr>
          <w:p w:rsidR="0014315C" w:rsidRPr="00E51F6E" w:rsidRDefault="0014315C">
            <w:pPr>
              <w:rPr>
                <w:rFonts w:ascii="微软雅黑" w:eastAsia="微软雅黑" w:hAnsi="微软雅黑" w:cs="黑体"/>
                <w:szCs w:val="21"/>
              </w:rPr>
            </w:pPr>
          </w:p>
        </w:tc>
        <w:tc>
          <w:tcPr>
            <w:tcW w:w="804" w:type="dxa"/>
          </w:tcPr>
          <w:p w:rsidR="0014315C" w:rsidRPr="00E51F6E" w:rsidRDefault="0014315C">
            <w:pPr>
              <w:rPr>
                <w:rFonts w:ascii="微软雅黑" w:eastAsia="微软雅黑" w:hAnsi="微软雅黑" w:cs="黑体"/>
                <w:szCs w:val="21"/>
              </w:rPr>
            </w:pPr>
          </w:p>
        </w:tc>
      </w:tr>
      <w:tr w:rsidR="0014315C" w:rsidRPr="00E51F6E">
        <w:tc>
          <w:tcPr>
            <w:tcW w:w="886" w:type="dxa"/>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累计</w:t>
            </w:r>
          </w:p>
        </w:tc>
        <w:tc>
          <w:tcPr>
            <w:tcW w:w="996"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969" w:type="dxa"/>
          </w:tcPr>
          <w:p w:rsidR="0014315C" w:rsidRPr="00E51F6E" w:rsidRDefault="0014315C">
            <w:pPr>
              <w:rPr>
                <w:rFonts w:ascii="微软雅黑" w:eastAsia="微软雅黑" w:hAnsi="微软雅黑" w:cs="黑体"/>
                <w:szCs w:val="21"/>
              </w:rPr>
            </w:pPr>
          </w:p>
        </w:tc>
        <w:tc>
          <w:tcPr>
            <w:tcW w:w="856" w:type="dxa"/>
          </w:tcPr>
          <w:p w:rsidR="0014315C" w:rsidRPr="00E51F6E" w:rsidRDefault="0014315C">
            <w:pPr>
              <w:rPr>
                <w:rFonts w:ascii="微软雅黑" w:eastAsia="微软雅黑" w:hAnsi="微软雅黑" w:cs="黑体"/>
                <w:szCs w:val="21"/>
              </w:rPr>
            </w:pPr>
          </w:p>
        </w:tc>
        <w:tc>
          <w:tcPr>
            <w:tcW w:w="804" w:type="dxa"/>
          </w:tcPr>
          <w:p w:rsidR="0014315C" w:rsidRPr="00E51F6E" w:rsidRDefault="0014315C">
            <w:pPr>
              <w:rPr>
                <w:rFonts w:ascii="微软雅黑" w:eastAsia="微软雅黑" w:hAnsi="微软雅黑" w:cs="黑体"/>
                <w:szCs w:val="21"/>
              </w:rPr>
            </w:pPr>
          </w:p>
        </w:tc>
      </w:tr>
    </w:tbl>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）项目总开发价值</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）项目总销售收入：</w:t>
      </w:r>
      <w:r w:rsidRPr="00E51F6E">
        <w:rPr>
          <w:rFonts w:ascii="微软雅黑" w:eastAsia="微软雅黑" w:hAnsi="微软雅黑" w:cs="黑体" w:hint="eastAsia"/>
          <w:szCs w:val="21"/>
        </w:rPr>
        <w:t>88600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）增值税和税金：</w:t>
      </w:r>
      <w:r w:rsidRPr="00E51F6E">
        <w:rPr>
          <w:rFonts w:ascii="微软雅黑" w:eastAsia="微软雅黑" w:hAnsi="微软雅黑" w:cs="黑体" w:hint="eastAsia"/>
          <w:szCs w:val="21"/>
        </w:rPr>
        <w:t>88600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4873</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）项目总开发价值：</w:t>
      </w:r>
      <w:r w:rsidRPr="00E51F6E">
        <w:rPr>
          <w:rFonts w:ascii="微软雅黑" w:eastAsia="微软雅黑" w:hAnsi="微软雅黑" w:cs="黑体" w:hint="eastAsia"/>
          <w:szCs w:val="21"/>
        </w:rPr>
        <w:t>88600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4873</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83727</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）项目总开发成本</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）土地费用：</w:t>
      </w:r>
      <w:r w:rsidRPr="00E51F6E">
        <w:rPr>
          <w:rFonts w:ascii="微软雅黑" w:eastAsia="微软雅黑" w:hAnsi="微软雅黑" w:cs="黑体" w:hint="eastAsia"/>
          <w:szCs w:val="21"/>
        </w:rPr>
        <w:t>16000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）建安成本：</w:t>
      </w:r>
      <w:r w:rsidRPr="00E51F6E">
        <w:rPr>
          <w:rFonts w:ascii="微软雅黑" w:eastAsia="微软雅黑" w:hAnsi="微软雅黑" w:cs="黑体" w:hint="eastAsia"/>
          <w:szCs w:val="21"/>
        </w:rPr>
        <w:t>31400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）其他费用：</w:t>
      </w:r>
      <w:r w:rsidRPr="00E51F6E">
        <w:rPr>
          <w:rFonts w:ascii="微软雅黑" w:eastAsia="微软雅黑" w:hAnsi="微软雅黑" w:cs="黑体" w:hint="eastAsia"/>
          <w:szCs w:val="21"/>
        </w:rPr>
        <w:t>6000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4</w:t>
      </w:r>
      <w:r w:rsidRPr="00E51F6E">
        <w:rPr>
          <w:rFonts w:ascii="微软雅黑" w:eastAsia="微软雅黑" w:hAnsi="微软雅黑" w:cs="黑体" w:hint="eastAsia"/>
          <w:szCs w:val="21"/>
        </w:rPr>
        <w:t>）利息</w:t>
      </w:r>
      <w:r w:rsidRPr="00E51F6E">
        <w:rPr>
          <w:rFonts w:ascii="微软雅黑" w:eastAsia="微软雅黑" w:hAnsi="微软雅黑" w:cs="黑体" w:hint="eastAsia"/>
          <w:szCs w:val="21"/>
        </w:rPr>
        <w:t xml:space="preserve"> </w:t>
      </w:r>
      <w:r w:rsidRPr="00E51F6E">
        <w:rPr>
          <w:rFonts w:ascii="微软雅黑" w:eastAsia="微软雅黑" w:hAnsi="微软雅黑" w:cs="黑体" w:hint="eastAsia"/>
          <w:szCs w:val="21"/>
        </w:rPr>
        <w:t>（分季度计算，与参见教材</w:t>
      </w:r>
      <w:r w:rsidRPr="00E51F6E">
        <w:rPr>
          <w:rFonts w:ascii="微软雅黑" w:eastAsia="微软雅黑" w:hAnsi="微软雅黑" w:cs="黑体" w:hint="eastAsia"/>
          <w:szCs w:val="21"/>
        </w:rPr>
        <w:t xml:space="preserve"> P196</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C</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第</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季度：（</w:t>
      </w:r>
      <w:r w:rsidRPr="00E51F6E">
        <w:rPr>
          <w:rFonts w:ascii="微软雅黑" w:eastAsia="微软雅黑" w:hAnsi="微软雅黑" w:cs="黑体" w:hint="eastAsia"/>
          <w:szCs w:val="21"/>
        </w:rPr>
        <w:t>16000+1570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536.1</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第</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季度：（</w:t>
      </w:r>
      <w:r w:rsidRPr="00E51F6E">
        <w:rPr>
          <w:rFonts w:ascii="微软雅黑" w:eastAsia="微软雅黑" w:hAnsi="微软雅黑" w:cs="黑体" w:hint="eastAsia"/>
          <w:szCs w:val="21"/>
        </w:rPr>
        <w:t>18406.1+3140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664.383</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以此类推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5</w:t>
      </w:r>
      <w:r w:rsidRPr="00E51F6E">
        <w:rPr>
          <w:rFonts w:ascii="微软雅黑" w:eastAsia="微软雅黑" w:hAnsi="微软雅黑" w:cs="黑体" w:hint="eastAsia"/>
          <w:szCs w:val="21"/>
        </w:rPr>
        <w:t>）项目总开发成本：</w:t>
      </w:r>
      <w:r w:rsidRPr="00E51F6E">
        <w:rPr>
          <w:rFonts w:ascii="微软雅黑" w:eastAsia="微软雅黑" w:hAnsi="微软雅黑" w:cs="黑体" w:hint="eastAsia"/>
          <w:szCs w:val="21"/>
        </w:rPr>
        <w:t>62676.35</w:t>
      </w:r>
      <w:r w:rsidRPr="00E51F6E">
        <w:rPr>
          <w:rFonts w:ascii="微软雅黑" w:eastAsia="微软雅黑" w:hAnsi="微软雅黑" w:cs="黑体" w:hint="eastAsia"/>
          <w:szCs w:val="21"/>
        </w:rPr>
        <w:t>万元。</w:t>
      </w:r>
    </w:p>
    <w:tbl>
      <w:tblPr>
        <w:tblW w:w="5954" w:type="dxa"/>
        <w:tblInd w:w="108" w:type="dxa"/>
        <w:tblLayout w:type="fixed"/>
        <w:tblLook w:val="04A0"/>
      </w:tblPr>
      <w:tblGrid>
        <w:gridCol w:w="848"/>
        <w:gridCol w:w="752"/>
        <w:gridCol w:w="527"/>
        <w:gridCol w:w="567"/>
        <w:gridCol w:w="567"/>
        <w:gridCol w:w="567"/>
        <w:gridCol w:w="425"/>
        <w:gridCol w:w="567"/>
        <w:gridCol w:w="567"/>
        <w:gridCol w:w="567"/>
      </w:tblGrid>
      <w:tr w:rsidR="0014315C" w:rsidRPr="00E51F6E" w:rsidTr="00E51F6E">
        <w:trPr>
          <w:trHeight w:val="550"/>
        </w:trPr>
        <w:tc>
          <w:tcPr>
            <w:tcW w:w="848" w:type="dxa"/>
            <w:tcBorders>
              <w:top w:val="single" w:sz="8" w:space="0" w:color="auto"/>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季度</w:t>
            </w:r>
            <w:r w:rsidRPr="00E51F6E">
              <w:rPr>
                <w:rFonts w:ascii="微软雅黑" w:eastAsia="微软雅黑" w:hAnsi="微软雅黑" w:cs="黑体" w:hint="eastAsia"/>
                <w:color w:val="000000"/>
                <w:kern w:val="0"/>
                <w:szCs w:val="21"/>
              </w:rPr>
              <w:lastRenderedPageBreak/>
              <w:t>（末）</w:t>
            </w:r>
          </w:p>
        </w:tc>
        <w:tc>
          <w:tcPr>
            <w:tcW w:w="752"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0</w:t>
            </w:r>
          </w:p>
        </w:tc>
        <w:tc>
          <w:tcPr>
            <w:tcW w:w="52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w:t>
            </w:r>
          </w:p>
        </w:tc>
        <w:tc>
          <w:tcPr>
            <w:tcW w:w="56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w:t>
            </w:r>
          </w:p>
        </w:tc>
        <w:tc>
          <w:tcPr>
            <w:tcW w:w="56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w:t>
            </w:r>
          </w:p>
        </w:tc>
        <w:tc>
          <w:tcPr>
            <w:tcW w:w="56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w:t>
            </w:r>
          </w:p>
        </w:tc>
        <w:tc>
          <w:tcPr>
            <w:tcW w:w="425"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w:t>
            </w:r>
          </w:p>
        </w:tc>
        <w:tc>
          <w:tcPr>
            <w:tcW w:w="56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w:t>
            </w:r>
          </w:p>
        </w:tc>
        <w:tc>
          <w:tcPr>
            <w:tcW w:w="56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7</w:t>
            </w:r>
          </w:p>
        </w:tc>
        <w:tc>
          <w:tcPr>
            <w:tcW w:w="567" w:type="dxa"/>
            <w:tcBorders>
              <w:top w:val="single" w:sz="8" w:space="0" w:color="auto"/>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8</w:t>
            </w:r>
          </w:p>
        </w:tc>
      </w:tr>
      <w:tr w:rsidR="0014315C" w:rsidRPr="00E51F6E" w:rsidTr="00E51F6E">
        <w:trPr>
          <w:trHeight w:val="55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土地取得费用</w:t>
            </w:r>
          </w:p>
        </w:tc>
        <w:tc>
          <w:tcPr>
            <w:tcW w:w="752"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16000</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r>
      <w:tr w:rsidR="0014315C" w:rsidRPr="00E51F6E" w:rsidTr="00E51F6E">
        <w:trPr>
          <w:trHeight w:val="109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建安成本和其他费用投入比例</w:t>
            </w:r>
          </w:p>
        </w:tc>
        <w:tc>
          <w:tcPr>
            <w:tcW w:w="752"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15%</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15%</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w:t>
            </w:r>
          </w:p>
        </w:tc>
      </w:tr>
      <w:tr w:rsidR="0014315C" w:rsidRPr="00E51F6E" w:rsidTr="00E51F6E">
        <w:trPr>
          <w:trHeight w:val="29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建安成本</w:t>
            </w:r>
          </w:p>
        </w:tc>
        <w:tc>
          <w:tcPr>
            <w:tcW w:w="752"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1570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3140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3140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4710</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6280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6280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4710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1570</w:t>
            </w:r>
          </w:p>
        </w:tc>
      </w:tr>
      <w:tr w:rsidR="0014315C" w:rsidRPr="00E51F6E" w:rsidTr="00E51F6E">
        <w:trPr>
          <w:trHeight w:val="29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其他费用</w:t>
            </w:r>
          </w:p>
        </w:tc>
        <w:tc>
          <w:tcPr>
            <w:tcW w:w="752"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300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600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600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900</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1200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1200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900</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300</w:t>
            </w:r>
          </w:p>
        </w:tc>
      </w:tr>
      <w:tr w:rsidR="0014315C" w:rsidRPr="00E51F6E" w:rsidTr="00E51F6E">
        <w:trPr>
          <w:trHeight w:val="29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利息</w:t>
            </w:r>
          </w:p>
        </w:tc>
        <w:tc>
          <w:tcPr>
            <w:tcW w:w="752" w:type="dxa"/>
            <w:tcBorders>
              <w:top w:val="nil"/>
              <w:left w:val="nil"/>
              <w:bottom w:val="single" w:sz="8" w:space="0" w:color="auto"/>
              <w:right w:val="single" w:sz="8" w:space="0" w:color="auto"/>
            </w:tcBorders>
            <w:shd w:val="clear" w:color="auto" w:fill="auto"/>
          </w:tcPr>
          <w:p w:rsidR="0014315C" w:rsidRPr="00E51F6E" w:rsidRDefault="00642AC9">
            <w:pPr>
              <w:widowControl/>
              <w:jc w:val="left"/>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 xml:space="preserve">　</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536.1</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664.383</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796.514</w:t>
            </w:r>
            <w:r w:rsidRPr="00E51F6E">
              <w:rPr>
                <w:rFonts w:ascii="微软雅黑" w:eastAsia="微软雅黑" w:hAnsi="微软雅黑" w:cs="黑体" w:hint="eastAsia"/>
                <w:color w:val="000000"/>
                <w:kern w:val="0"/>
                <w:szCs w:val="21"/>
              </w:rPr>
              <w:lastRenderedPageBreak/>
              <w:t>5</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988.709</w:t>
            </w:r>
            <w:r w:rsidRPr="00E51F6E">
              <w:rPr>
                <w:rFonts w:ascii="微软雅黑" w:eastAsia="微软雅黑" w:hAnsi="微软雅黑" w:cs="黑体" w:hint="eastAsia"/>
                <w:color w:val="000000"/>
                <w:kern w:val="0"/>
                <w:szCs w:val="21"/>
              </w:rPr>
              <w:lastRenderedPageBreak/>
              <w:t>9</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124</w:t>
            </w:r>
            <w:r w:rsidRPr="00E51F6E">
              <w:rPr>
                <w:rFonts w:ascii="微软雅黑" w:eastAsia="微软雅黑" w:hAnsi="微软雅黑" w:cs="黑体" w:hint="eastAsia"/>
                <w:color w:val="000000"/>
                <w:kern w:val="0"/>
                <w:szCs w:val="21"/>
              </w:rPr>
              <w:lastRenderedPageBreak/>
              <w:t>2.771</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1504.45</w:t>
            </w:r>
            <w:r w:rsidRPr="00E51F6E">
              <w:rPr>
                <w:rFonts w:ascii="微软雅黑" w:eastAsia="微软雅黑" w:hAnsi="微软雅黑" w:cs="黑体" w:hint="eastAsia"/>
                <w:color w:val="000000"/>
                <w:kern w:val="0"/>
                <w:szCs w:val="21"/>
              </w:rPr>
              <w:lastRenderedPageBreak/>
              <w:t>4</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1717.88</w:t>
            </w:r>
            <w:r w:rsidRPr="00E51F6E">
              <w:rPr>
                <w:rFonts w:ascii="微软雅黑" w:eastAsia="微软雅黑" w:hAnsi="微软雅黑" w:cs="黑体" w:hint="eastAsia"/>
                <w:color w:val="000000"/>
                <w:kern w:val="0"/>
                <w:szCs w:val="21"/>
              </w:rPr>
              <w:lastRenderedPageBreak/>
              <w:t>8</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1825.52</w:t>
            </w:r>
            <w:r w:rsidRPr="00E51F6E">
              <w:rPr>
                <w:rFonts w:ascii="微软雅黑" w:eastAsia="微软雅黑" w:hAnsi="微软雅黑" w:cs="黑体" w:hint="eastAsia"/>
                <w:color w:val="000000"/>
                <w:kern w:val="0"/>
                <w:szCs w:val="21"/>
              </w:rPr>
              <w:lastRenderedPageBreak/>
              <w:t>5</w:t>
            </w:r>
          </w:p>
        </w:tc>
      </w:tr>
      <w:tr w:rsidR="0014315C" w:rsidRPr="00E51F6E" w:rsidTr="00E51F6E">
        <w:trPr>
          <w:trHeight w:val="29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lastRenderedPageBreak/>
              <w:t>合计</w:t>
            </w:r>
          </w:p>
        </w:tc>
        <w:tc>
          <w:tcPr>
            <w:tcW w:w="752"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16000</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2406.1</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4404.383</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4536.514</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6598.71</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8722.771</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8984.454</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7327.888</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3695.525</w:t>
            </w:r>
          </w:p>
        </w:tc>
      </w:tr>
      <w:tr w:rsidR="0014315C" w:rsidRPr="00E51F6E" w:rsidTr="00E51F6E">
        <w:trPr>
          <w:trHeight w:val="290"/>
        </w:trPr>
        <w:tc>
          <w:tcPr>
            <w:tcW w:w="848" w:type="dxa"/>
            <w:tcBorders>
              <w:top w:val="nil"/>
              <w:left w:val="single" w:sz="8" w:space="0" w:color="auto"/>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累计</w:t>
            </w:r>
          </w:p>
        </w:tc>
        <w:tc>
          <w:tcPr>
            <w:tcW w:w="752"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16000</w:t>
            </w:r>
          </w:p>
        </w:tc>
        <w:tc>
          <w:tcPr>
            <w:tcW w:w="52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18406.1</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22810.483</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27347</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33945.71</w:t>
            </w:r>
          </w:p>
        </w:tc>
        <w:tc>
          <w:tcPr>
            <w:tcW w:w="425"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42668.48</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51652.93</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58980.82</w:t>
            </w:r>
          </w:p>
        </w:tc>
        <w:tc>
          <w:tcPr>
            <w:tcW w:w="567" w:type="dxa"/>
            <w:tcBorders>
              <w:top w:val="nil"/>
              <w:left w:val="nil"/>
              <w:bottom w:val="single" w:sz="8" w:space="0" w:color="auto"/>
              <w:right w:val="single" w:sz="8" w:space="0" w:color="auto"/>
            </w:tcBorders>
            <w:shd w:val="clear" w:color="auto" w:fill="auto"/>
            <w:vAlign w:val="center"/>
          </w:tcPr>
          <w:p w:rsidR="0014315C" w:rsidRPr="00E51F6E" w:rsidRDefault="00642AC9">
            <w:pPr>
              <w:widowControl/>
              <w:rPr>
                <w:rFonts w:ascii="微软雅黑" w:eastAsia="微软雅黑" w:hAnsi="微软雅黑" w:cs="黑体"/>
                <w:color w:val="000000"/>
                <w:kern w:val="0"/>
                <w:szCs w:val="21"/>
              </w:rPr>
            </w:pPr>
            <w:r w:rsidRPr="00E51F6E">
              <w:rPr>
                <w:rFonts w:ascii="微软雅黑" w:eastAsia="微软雅黑" w:hAnsi="微软雅黑" w:cs="黑体" w:hint="eastAsia"/>
                <w:color w:val="000000"/>
                <w:kern w:val="0"/>
                <w:szCs w:val="21"/>
              </w:rPr>
              <w:t>62676.35</w:t>
            </w:r>
          </w:p>
        </w:tc>
      </w:tr>
    </w:tbl>
    <w:p w:rsidR="0014315C" w:rsidRPr="00E51F6E" w:rsidRDefault="00642AC9" w:rsidP="00E51F6E">
      <w:pPr>
        <w:numPr>
          <w:ilvl w:val="0"/>
          <w:numId w:val="8"/>
        </w:numPr>
        <w:rPr>
          <w:rFonts w:ascii="微软雅黑" w:eastAsia="微软雅黑" w:hAnsi="微软雅黑" w:cs="黑体"/>
          <w:szCs w:val="21"/>
        </w:rPr>
      </w:pPr>
      <w:r w:rsidRPr="00E51F6E">
        <w:rPr>
          <w:rFonts w:ascii="微软雅黑" w:eastAsia="微软雅黑" w:hAnsi="微软雅黑" w:cs="黑体" w:hint="eastAsia"/>
          <w:szCs w:val="21"/>
        </w:rPr>
        <w:t>成本利润率：（</w:t>
      </w:r>
      <w:r w:rsidRPr="00E51F6E">
        <w:rPr>
          <w:rFonts w:ascii="微软雅黑" w:eastAsia="微软雅黑" w:hAnsi="微软雅黑" w:cs="黑体" w:hint="eastAsia"/>
          <w:szCs w:val="21"/>
        </w:rPr>
        <w:t>83727</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62676.35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/62676.35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33.59%</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某市拟将一占地面积</w:t>
      </w:r>
      <w:r w:rsidRPr="00E51F6E">
        <w:rPr>
          <w:rFonts w:ascii="微软雅黑" w:eastAsia="微软雅黑" w:hAnsi="微软雅黑" w:cs="黑体" w:hint="eastAsia"/>
          <w:szCs w:val="21"/>
        </w:rPr>
        <w:t>100</w:t>
      </w:r>
      <w:r w:rsidRPr="00E51F6E">
        <w:rPr>
          <w:rFonts w:ascii="微软雅黑" w:eastAsia="微软雅黑" w:hAnsi="微软雅黑" w:cs="黑体" w:hint="eastAsia"/>
          <w:szCs w:val="21"/>
        </w:rPr>
        <w:t>亩，需拆除房屋建筑面积</w:t>
      </w:r>
      <w:r w:rsidRPr="00E51F6E">
        <w:rPr>
          <w:rFonts w:ascii="微软雅黑" w:eastAsia="微软雅黑" w:hAnsi="微软雅黑" w:cs="黑体" w:hint="eastAsia"/>
          <w:szCs w:val="21"/>
        </w:rPr>
        <w:t>60000m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的棚户区，改造</w:t>
      </w:r>
      <w:proofErr w:type="gramStart"/>
      <w:r w:rsidRPr="00E51F6E">
        <w:rPr>
          <w:rFonts w:ascii="微软雅黑" w:eastAsia="微软雅黑" w:hAnsi="微软雅黑" w:cs="黑体" w:hint="eastAsia"/>
          <w:szCs w:val="21"/>
        </w:rPr>
        <w:t>成规划</w:t>
      </w:r>
      <w:proofErr w:type="gramEnd"/>
      <w:r w:rsidRPr="00E51F6E">
        <w:rPr>
          <w:rFonts w:ascii="微软雅黑" w:eastAsia="微软雅黑" w:hAnsi="微软雅黑" w:cs="黑体" w:hint="eastAsia"/>
          <w:szCs w:val="21"/>
        </w:rPr>
        <w:t>容积</w:t>
      </w:r>
      <w:r w:rsidRPr="00E51F6E">
        <w:rPr>
          <w:rFonts w:ascii="微软雅黑" w:eastAsia="微软雅黑" w:hAnsi="微软雅黑" w:cs="黑体" w:hint="eastAsia"/>
          <w:szCs w:val="21"/>
        </w:rPr>
        <w:lastRenderedPageBreak/>
        <w:t>率为</w:t>
      </w:r>
      <w:r w:rsidRPr="00E51F6E">
        <w:rPr>
          <w:rFonts w:ascii="微软雅黑" w:eastAsia="微软雅黑" w:hAnsi="微软雅黑" w:cs="黑体" w:hint="eastAsia"/>
          <w:szCs w:val="21"/>
        </w:rPr>
        <w:t>2.6</w:t>
      </w:r>
      <w:r w:rsidRPr="00E51F6E">
        <w:rPr>
          <w:rFonts w:ascii="微软雅黑" w:eastAsia="微软雅黑" w:hAnsi="微软雅黑" w:cs="黑体" w:hint="eastAsia"/>
          <w:szCs w:val="21"/>
        </w:rPr>
        <w:t>的住宅项目。改造后的住宅项目需按拆除房屋建筑面积的</w:t>
      </w:r>
      <w:r w:rsidRPr="00E51F6E">
        <w:rPr>
          <w:rFonts w:ascii="微软雅黑" w:eastAsia="微软雅黑" w:hAnsi="微软雅黑" w:cs="黑体" w:hint="eastAsia"/>
          <w:szCs w:val="21"/>
        </w:rPr>
        <w:t>1.2</w:t>
      </w:r>
      <w:r w:rsidRPr="00E51F6E">
        <w:rPr>
          <w:rFonts w:ascii="微软雅黑" w:eastAsia="微软雅黑" w:hAnsi="微软雅黑" w:cs="黑体" w:hint="eastAsia"/>
          <w:szCs w:val="21"/>
        </w:rPr>
        <w:t>倍配建保障性住房，其余为可售商品住宅，项目的开发经营期为</w:t>
      </w: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年。据测算，该项目的前期工程费为</w:t>
      </w:r>
      <w:r w:rsidRPr="00E51F6E">
        <w:rPr>
          <w:rFonts w:ascii="微软雅黑" w:eastAsia="微软雅黑" w:hAnsi="微软雅黑" w:cs="黑体" w:hint="eastAsia"/>
          <w:szCs w:val="21"/>
        </w:rPr>
        <w:t>800</w:t>
      </w:r>
      <w:r w:rsidRPr="00E51F6E">
        <w:rPr>
          <w:rFonts w:ascii="微软雅黑" w:eastAsia="微软雅黑" w:hAnsi="微软雅黑" w:cs="黑体" w:hint="eastAsia"/>
          <w:szCs w:val="21"/>
        </w:rPr>
        <w:t>万元，于第</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年全部投入；建安成本为</w:t>
      </w:r>
      <w:r w:rsidRPr="00E51F6E">
        <w:rPr>
          <w:rFonts w:ascii="微软雅黑" w:eastAsia="微软雅黑" w:hAnsi="微软雅黑" w:cs="黑体" w:hint="eastAsia"/>
          <w:szCs w:val="21"/>
        </w:rPr>
        <w:t>3200</w:t>
      </w:r>
      <w:r w:rsidRPr="00E51F6E">
        <w:rPr>
          <w:rFonts w:ascii="微软雅黑" w:eastAsia="微软雅黑" w:hAnsi="微软雅黑" w:cs="黑体" w:hint="eastAsia"/>
          <w:szCs w:val="21"/>
        </w:rPr>
        <w:t>元</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，各年投入比例分别为</w:t>
      </w:r>
      <w:r w:rsidRPr="00E51F6E">
        <w:rPr>
          <w:rFonts w:ascii="微软雅黑" w:eastAsia="微软雅黑" w:hAnsi="微软雅黑" w:cs="黑体" w:hint="eastAsia"/>
          <w:szCs w:val="21"/>
        </w:rPr>
        <w:t>25%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35%</w:t>
      </w:r>
      <w:r w:rsidRPr="00E51F6E">
        <w:rPr>
          <w:rFonts w:ascii="微软雅黑" w:eastAsia="微软雅黑" w:hAnsi="微软雅黑" w:cs="黑体" w:hint="eastAsia"/>
          <w:szCs w:val="21"/>
        </w:rPr>
        <w:t>；其他建设费用</w:t>
      </w:r>
      <w:r w:rsidRPr="00E51F6E">
        <w:rPr>
          <w:rFonts w:ascii="微软雅黑" w:eastAsia="微软雅黑" w:hAnsi="微软雅黑" w:cs="黑体" w:hint="eastAsia"/>
          <w:szCs w:val="21"/>
        </w:rPr>
        <w:t>1120</w:t>
      </w:r>
      <w:r w:rsidRPr="00E51F6E">
        <w:rPr>
          <w:rFonts w:ascii="微软雅黑" w:eastAsia="微软雅黑" w:hAnsi="微软雅黑" w:cs="黑体" w:hint="eastAsia"/>
          <w:szCs w:val="21"/>
        </w:rPr>
        <w:t>万元，各年投入比例与建安成本相同；管理费用为</w:t>
      </w:r>
      <w:r w:rsidRPr="00E51F6E">
        <w:rPr>
          <w:rFonts w:ascii="微软雅黑" w:eastAsia="微软雅黑" w:hAnsi="微软雅黑" w:cs="黑体" w:hint="eastAsia"/>
          <w:szCs w:val="21"/>
        </w:rPr>
        <w:t>990</w:t>
      </w:r>
      <w:r w:rsidRPr="00E51F6E">
        <w:rPr>
          <w:rFonts w:ascii="微软雅黑" w:eastAsia="微软雅黑" w:hAnsi="微软雅黑" w:cs="黑体" w:hint="eastAsia"/>
          <w:szCs w:val="21"/>
        </w:rPr>
        <w:t>万元，在开发期内每年平均投入；销售费用为</w:t>
      </w:r>
      <w:r w:rsidRPr="00E51F6E">
        <w:rPr>
          <w:rFonts w:ascii="微软雅黑" w:eastAsia="微软雅黑" w:hAnsi="微软雅黑" w:cs="黑体" w:hint="eastAsia"/>
          <w:szCs w:val="21"/>
        </w:rPr>
        <w:t>1200</w:t>
      </w:r>
      <w:r w:rsidRPr="00E51F6E">
        <w:rPr>
          <w:rFonts w:ascii="微软雅黑" w:eastAsia="微软雅黑" w:hAnsi="微软雅黑" w:cs="黑体" w:hint="eastAsia"/>
          <w:szCs w:val="21"/>
        </w:rPr>
        <w:t>万元，各年投入比例为</w:t>
      </w:r>
      <w:r w:rsidRPr="00E51F6E">
        <w:rPr>
          <w:rFonts w:ascii="微软雅黑" w:eastAsia="微软雅黑" w:hAnsi="微软雅黑" w:cs="黑体" w:hint="eastAsia"/>
          <w:szCs w:val="21"/>
        </w:rPr>
        <w:t>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30%</w:t>
      </w:r>
      <w:r w:rsidRPr="00E51F6E">
        <w:rPr>
          <w:rFonts w:ascii="微软雅黑" w:eastAsia="微软雅黑" w:hAnsi="微软雅黑" w:cs="黑体" w:hint="eastAsia"/>
          <w:szCs w:val="21"/>
        </w:rPr>
        <w:t>。保障性住房在项目竣工验收后，由政府以</w:t>
      </w:r>
      <w:r w:rsidRPr="00E51F6E">
        <w:rPr>
          <w:rFonts w:ascii="微软雅黑" w:eastAsia="微软雅黑" w:hAnsi="微软雅黑" w:cs="黑体" w:hint="eastAsia"/>
          <w:szCs w:val="21"/>
        </w:rPr>
        <w:t>6000</w:t>
      </w:r>
      <w:r w:rsidRPr="00E51F6E">
        <w:rPr>
          <w:rFonts w:ascii="微软雅黑" w:eastAsia="微软雅黑" w:hAnsi="微软雅黑" w:cs="黑体" w:hint="eastAsia"/>
          <w:szCs w:val="21"/>
        </w:rPr>
        <w:t>元</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的价格一次性回购，不考虑土增值税、增值税和税金及附加。商品住宅的销售均价为</w:t>
      </w:r>
      <w:r w:rsidRPr="00E51F6E">
        <w:rPr>
          <w:rFonts w:ascii="微软雅黑" w:eastAsia="微软雅黑" w:hAnsi="微软雅黑" w:cs="黑体" w:hint="eastAsia"/>
          <w:szCs w:val="21"/>
        </w:rPr>
        <w:t>9000</w:t>
      </w:r>
      <w:r w:rsidRPr="00E51F6E">
        <w:rPr>
          <w:rFonts w:ascii="微软雅黑" w:eastAsia="微软雅黑" w:hAnsi="微软雅黑" w:cs="黑体" w:hint="eastAsia"/>
          <w:szCs w:val="21"/>
        </w:rPr>
        <w:t>元</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，开工当年开始销售，各年销售比例分别为</w:t>
      </w:r>
      <w:r w:rsidRPr="00E51F6E">
        <w:rPr>
          <w:rFonts w:ascii="微软雅黑" w:eastAsia="微软雅黑" w:hAnsi="微软雅黑" w:cs="黑体" w:hint="eastAsia"/>
          <w:szCs w:val="21"/>
        </w:rPr>
        <w:t>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20%</w:t>
      </w:r>
      <w:r w:rsidRPr="00E51F6E">
        <w:rPr>
          <w:rFonts w:ascii="微软雅黑" w:eastAsia="微软雅黑" w:hAnsi="微软雅黑" w:cs="黑体" w:hint="eastAsia"/>
          <w:szCs w:val="21"/>
        </w:rPr>
        <w:t>，增值税和税金及附加为销售收入的</w:t>
      </w:r>
      <w:r w:rsidRPr="00E51F6E">
        <w:rPr>
          <w:rFonts w:ascii="微软雅黑" w:eastAsia="微软雅黑" w:hAnsi="微软雅黑" w:cs="黑体" w:hint="eastAsia"/>
          <w:szCs w:val="21"/>
        </w:rPr>
        <w:t>5.5%</w:t>
      </w:r>
      <w:r w:rsidRPr="00E51F6E">
        <w:rPr>
          <w:rFonts w:ascii="微软雅黑" w:eastAsia="微软雅黑" w:hAnsi="微软雅黑" w:cs="黑体" w:hint="eastAsia"/>
          <w:szCs w:val="21"/>
        </w:rPr>
        <w:t>；土地增值税按销售收入的</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预征（不考虑最终清算的影响）。土地交</w:t>
      </w:r>
      <w:r w:rsidRPr="00E51F6E">
        <w:rPr>
          <w:rFonts w:ascii="微软雅黑" w:eastAsia="微软雅黑" w:hAnsi="微软雅黑" w:cs="黑体" w:hint="eastAsia"/>
          <w:szCs w:val="21"/>
        </w:rPr>
        <w:t>易的契税税率为</w:t>
      </w:r>
      <w:r w:rsidRPr="00E51F6E">
        <w:rPr>
          <w:rFonts w:ascii="微软雅黑" w:eastAsia="微软雅黑" w:hAnsi="微软雅黑" w:cs="黑体" w:hint="eastAsia"/>
          <w:szCs w:val="21"/>
        </w:rPr>
        <w:t>4%</w:t>
      </w:r>
      <w:r w:rsidRPr="00E51F6E">
        <w:rPr>
          <w:rFonts w:ascii="微软雅黑" w:eastAsia="微软雅黑" w:hAnsi="微软雅黑" w:cs="黑体" w:hint="eastAsia"/>
          <w:szCs w:val="21"/>
        </w:rPr>
        <w:t>，若某房地产开发企业要求该投资项目的所得税前财务内部收益率不低于</w:t>
      </w:r>
      <w:r w:rsidRPr="00E51F6E">
        <w:rPr>
          <w:rFonts w:ascii="微软雅黑" w:eastAsia="微软雅黑" w:hAnsi="微软雅黑" w:cs="黑体" w:hint="eastAsia"/>
          <w:szCs w:val="21"/>
        </w:rPr>
        <w:t>10%</w:t>
      </w:r>
      <w:r w:rsidRPr="00E51F6E">
        <w:rPr>
          <w:rFonts w:ascii="微软雅黑" w:eastAsia="微软雅黑" w:hAnsi="微软雅黑" w:cs="黑体" w:hint="eastAsia"/>
          <w:szCs w:val="21"/>
        </w:rPr>
        <w:t>，请计算该企业在参与该项目竞争时可以承受的土地最高竞买单价是多少？（土地费用发生在第</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年初，其他所有收支均发生在年末，土地价格以万元</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亩表示）（</w:t>
      </w:r>
      <w:r w:rsidRPr="00E51F6E">
        <w:rPr>
          <w:rFonts w:ascii="微软雅黑" w:eastAsia="微软雅黑" w:hAnsi="微软雅黑" w:cs="黑体" w:hint="eastAsia"/>
          <w:szCs w:val="21"/>
        </w:rPr>
        <w:t>12</w:t>
      </w:r>
      <w:r w:rsidRPr="00E51F6E">
        <w:rPr>
          <w:rFonts w:ascii="微软雅黑" w:eastAsia="微软雅黑" w:hAnsi="微软雅黑" w:cs="黑体" w:hint="eastAsia"/>
          <w:szCs w:val="21"/>
        </w:rPr>
        <w:t>分）</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【答案】</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面积计算</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）土地面积：</w:t>
      </w:r>
      <w:r w:rsidRPr="00E51F6E">
        <w:rPr>
          <w:rFonts w:ascii="微软雅黑" w:eastAsia="微软雅黑" w:hAnsi="微软雅黑" w:cs="黑体" w:hint="eastAsia"/>
          <w:szCs w:val="21"/>
        </w:rPr>
        <w:t>100</w:t>
      </w:r>
      <w:r w:rsidRPr="00E51F6E">
        <w:rPr>
          <w:rFonts w:ascii="微软雅黑" w:eastAsia="微软雅黑" w:hAnsi="微软雅黑" w:cs="黑体" w:hint="eastAsia"/>
          <w:szCs w:val="21"/>
        </w:rPr>
        <w:t>亩＝</w:t>
      </w:r>
      <w:r w:rsidRPr="00E51F6E">
        <w:rPr>
          <w:rFonts w:ascii="微软雅黑" w:eastAsia="微软雅黑" w:hAnsi="微软雅黑" w:cs="黑体" w:hint="eastAsia"/>
          <w:szCs w:val="21"/>
        </w:rPr>
        <w:t>66666.67</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）建筑面积：</w:t>
      </w:r>
      <w:r w:rsidRPr="00E51F6E">
        <w:rPr>
          <w:rFonts w:ascii="微软雅黑" w:eastAsia="微软雅黑" w:hAnsi="微软雅黑" w:cs="黑体" w:hint="eastAsia"/>
          <w:szCs w:val="21"/>
        </w:rPr>
        <w:t>66666.67</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2.6</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173333.34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）保障性住房建筑面积：</w:t>
      </w:r>
      <w:r w:rsidRPr="00E51F6E">
        <w:rPr>
          <w:rFonts w:ascii="微软雅黑" w:eastAsia="微软雅黑" w:hAnsi="微软雅黑" w:cs="黑体" w:hint="eastAsia"/>
          <w:szCs w:val="21"/>
        </w:rPr>
        <w:t>60000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1.2</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72000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）商品住房建筑面积：</w:t>
      </w:r>
      <w:r w:rsidRPr="00E51F6E">
        <w:rPr>
          <w:rFonts w:ascii="微软雅黑" w:eastAsia="微软雅黑" w:hAnsi="微软雅黑" w:cs="黑体" w:hint="eastAsia"/>
          <w:szCs w:val="21"/>
        </w:rPr>
        <w:t>173333.34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72000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101333.34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m</w:t>
      </w:r>
      <w:r w:rsidRPr="00E51F6E">
        <w:rPr>
          <w:rFonts w:ascii="微软雅黑" w:eastAsia="微软雅黑" w:hAnsi="微软雅黑" w:cs="黑体" w:hint="eastAsia"/>
          <w:szCs w:val="21"/>
          <w:vertAlign w:val="superscript"/>
        </w:rPr>
        <w:t>2</w:t>
      </w:r>
      <w:r w:rsidRPr="00E51F6E">
        <w:rPr>
          <w:rFonts w:ascii="微软雅黑" w:eastAsia="微软雅黑" w:hAnsi="微软雅黑" w:cs="黑体" w:hint="eastAsia"/>
          <w:szCs w:val="21"/>
        </w:rPr>
        <w:t>）。</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项目价值计算</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）保障性住房收益：</w:t>
      </w:r>
      <w:r w:rsidRPr="00E51F6E">
        <w:rPr>
          <w:rFonts w:ascii="微软雅黑" w:eastAsia="微软雅黑" w:hAnsi="微软雅黑" w:cs="黑体" w:hint="eastAsia"/>
          <w:szCs w:val="21"/>
        </w:rPr>
        <w:t>72000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43200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）商品住房收益</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9000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101333.34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18240.00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9000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101333.34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54720.00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9000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101333.34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18240.00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）增值税和税金及附加</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18240.00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1003.2</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54720.00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3009.6</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18240.00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1003.2</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w:t>
      </w:r>
      <w:r w:rsidRPr="00E51F6E">
        <w:rPr>
          <w:rFonts w:ascii="微软雅黑" w:eastAsia="微软雅黑" w:hAnsi="微软雅黑" w:cs="黑体" w:hint="eastAsia"/>
          <w:szCs w:val="21"/>
        </w:rPr>
        <w:t>）土地增值税</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18240.00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182.4</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54720.00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547.2</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18240.00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182.4</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项目成本计算</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）前期工程费：</w:t>
      </w:r>
      <w:r w:rsidRPr="00E51F6E">
        <w:rPr>
          <w:rFonts w:ascii="微软雅黑" w:eastAsia="微软雅黑" w:hAnsi="微软雅黑" w:cs="黑体" w:hint="eastAsia"/>
          <w:szCs w:val="21"/>
        </w:rPr>
        <w:t>800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）建安成本</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3200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173333.34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13866.67</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3200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173333.34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22186.67</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3200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173333.34</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19413.33</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）其他建设费用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1120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280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1120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448</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1120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35%</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392</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4</w:t>
      </w:r>
      <w:r w:rsidRPr="00E51F6E">
        <w:rPr>
          <w:rFonts w:ascii="微软雅黑" w:eastAsia="微软雅黑" w:hAnsi="微软雅黑" w:cs="黑体" w:hint="eastAsia"/>
          <w:szCs w:val="21"/>
        </w:rPr>
        <w:t>）管理费用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990/3</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330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990/3</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330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990/3</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330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w:t>
      </w:r>
      <w:r w:rsidRPr="00E51F6E">
        <w:rPr>
          <w:rFonts w:ascii="微软雅黑" w:eastAsia="微软雅黑" w:hAnsi="微软雅黑" w:cs="黑体" w:hint="eastAsia"/>
          <w:szCs w:val="21"/>
        </w:rPr>
        <w:t>）销售费用</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r w:rsidRPr="00E51F6E">
        <w:rPr>
          <w:rFonts w:ascii="微软雅黑" w:eastAsia="微软雅黑" w:hAnsi="微软雅黑" w:cs="黑体" w:hint="eastAsia"/>
          <w:szCs w:val="21"/>
        </w:rPr>
        <w:t>）第一年：</w:t>
      </w:r>
      <w:r w:rsidRPr="00E51F6E">
        <w:rPr>
          <w:rFonts w:ascii="微软雅黑" w:eastAsia="微软雅黑" w:hAnsi="微软雅黑" w:cs="黑体" w:hint="eastAsia"/>
          <w:szCs w:val="21"/>
        </w:rPr>
        <w:t>1200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240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r w:rsidRPr="00E51F6E">
        <w:rPr>
          <w:rFonts w:ascii="微软雅黑" w:eastAsia="微软雅黑" w:hAnsi="微软雅黑" w:cs="黑体" w:hint="eastAsia"/>
          <w:szCs w:val="21"/>
        </w:rPr>
        <w:t>）第二年：</w:t>
      </w:r>
      <w:r w:rsidRPr="00E51F6E">
        <w:rPr>
          <w:rFonts w:ascii="微软雅黑" w:eastAsia="微软雅黑" w:hAnsi="微软雅黑" w:cs="黑体" w:hint="eastAsia"/>
          <w:szCs w:val="21"/>
        </w:rPr>
        <w:t>1200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50%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600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r w:rsidRPr="00E51F6E">
        <w:rPr>
          <w:rFonts w:ascii="微软雅黑" w:eastAsia="微软雅黑" w:hAnsi="微软雅黑" w:cs="黑体" w:hint="eastAsia"/>
          <w:szCs w:val="21"/>
        </w:rPr>
        <w:t>）第三年：</w:t>
      </w:r>
      <w:r w:rsidRPr="00E51F6E">
        <w:rPr>
          <w:rFonts w:ascii="微软雅黑" w:eastAsia="微软雅黑" w:hAnsi="微软雅黑" w:cs="黑体" w:hint="eastAsia"/>
          <w:szCs w:val="21"/>
        </w:rPr>
        <w:t>12</w:t>
      </w:r>
      <w:r w:rsidRPr="00E51F6E">
        <w:rPr>
          <w:rFonts w:ascii="微软雅黑" w:eastAsia="微软雅黑" w:hAnsi="微软雅黑" w:cs="黑体" w:hint="eastAsia"/>
          <w:szCs w:val="21"/>
        </w:rPr>
        <w:t>00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30%</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360</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6</w:t>
      </w:r>
      <w:r w:rsidRPr="00E51F6E">
        <w:rPr>
          <w:rFonts w:ascii="微软雅黑" w:eastAsia="微软雅黑" w:hAnsi="微软雅黑" w:cs="黑体" w:hint="eastAsia"/>
          <w:szCs w:val="21"/>
        </w:rPr>
        <w:t>）契税及土地价格</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假设土地最高买价为</w:t>
      </w:r>
      <w:r w:rsidRPr="00E51F6E">
        <w:rPr>
          <w:rFonts w:ascii="微软雅黑" w:eastAsia="微软雅黑" w:hAnsi="微软雅黑" w:cs="黑体" w:hint="eastAsia"/>
          <w:szCs w:val="21"/>
        </w:rPr>
        <w:t>V</w:t>
      </w:r>
      <w:r w:rsidRPr="00E51F6E">
        <w:rPr>
          <w:rFonts w:ascii="微软雅黑" w:eastAsia="微软雅黑" w:hAnsi="微软雅黑" w:cs="黑体" w:hint="eastAsia"/>
          <w:szCs w:val="21"/>
        </w:rPr>
        <w:t>万元</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亩，土地总成本为</w:t>
      </w:r>
      <w:r w:rsidRPr="00E51F6E">
        <w:rPr>
          <w:rFonts w:ascii="微软雅黑" w:eastAsia="微软雅黑" w:hAnsi="微软雅黑" w:cs="黑体" w:hint="eastAsia"/>
          <w:szCs w:val="21"/>
        </w:rPr>
        <w:t>104V</w:t>
      </w:r>
      <w:r w:rsidRPr="00E51F6E">
        <w:rPr>
          <w:rFonts w:ascii="微软雅黑" w:eastAsia="微软雅黑" w:hAnsi="微软雅黑" w:cs="黑体" w:hint="eastAsia"/>
          <w:szCs w:val="21"/>
        </w:rPr>
        <w:t>万元</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7</w:t>
      </w:r>
      <w:r w:rsidRPr="00E51F6E">
        <w:rPr>
          <w:rFonts w:ascii="微软雅黑" w:eastAsia="微软雅黑" w:hAnsi="微软雅黑" w:cs="黑体" w:hint="eastAsia"/>
          <w:szCs w:val="21"/>
        </w:rPr>
        <w:t>）计算净现值，报酬率取内部收益率</w:t>
      </w:r>
      <w:r w:rsidRPr="00E51F6E">
        <w:rPr>
          <w:rFonts w:ascii="微软雅黑" w:eastAsia="微软雅黑" w:hAnsi="微软雅黑" w:cs="黑体" w:hint="eastAsia"/>
          <w:szCs w:val="21"/>
        </w:rPr>
        <w:t>10%</w:t>
      </w:r>
      <w:r w:rsidRPr="00E51F6E">
        <w:rPr>
          <w:rFonts w:ascii="微软雅黑" w:eastAsia="微软雅黑" w:hAnsi="微软雅黑" w:cs="黑体" w:hint="eastAsia"/>
          <w:szCs w:val="21"/>
        </w:rPr>
        <w:t>。</w:t>
      </w:r>
    </w:p>
    <w:tbl>
      <w:tblPr>
        <w:tblW w:w="8060" w:type="dxa"/>
        <w:tblInd w:w="98" w:type="dxa"/>
        <w:tblLayout w:type="fixed"/>
        <w:tblLook w:val="04A0"/>
      </w:tblPr>
      <w:tblGrid>
        <w:gridCol w:w="3380"/>
        <w:gridCol w:w="1080"/>
        <w:gridCol w:w="1199"/>
        <w:gridCol w:w="1199"/>
        <w:gridCol w:w="1202"/>
      </w:tblGrid>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0</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一、现金流入</w:t>
            </w:r>
          </w:p>
        </w:tc>
        <w:tc>
          <w:tcPr>
            <w:tcW w:w="1080"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202"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商品住房销售收入</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18240</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54720</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18240</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保障性住房销售收入</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43200</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二、现金流出</w:t>
            </w:r>
          </w:p>
        </w:tc>
        <w:tc>
          <w:tcPr>
            <w:tcW w:w="1080"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202"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土地价格</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104V</w:t>
            </w:r>
          </w:p>
        </w:tc>
        <w:tc>
          <w:tcPr>
            <w:tcW w:w="1199"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199"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c>
          <w:tcPr>
            <w:tcW w:w="1202" w:type="dxa"/>
            <w:tcBorders>
              <w:top w:val="nil"/>
              <w:left w:val="nil"/>
              <w:bottom w:val="single" w:sz="8" w:space="0" w:color="auto"/>
              <w:right w:val="single" w:sz="8" w:space="0" w:color="auto"/>
            </w:tcBorders>
            <w:shd w:val="clear" w:color="auto" w:fill="auto"/>
          </w:tcPr>
          <w:p w:rsidR="0014315C" w:rsidRPr="00E51F6E" w:rsidRDefault="0014315C">
            <w:pPr>
              <w:rPr>
                <w:rFonts w:ascii="微软雅黑" w:eastAsia="微软雅黑" w:hAnsi="微软雅黑" w:cs="黑体"/>
                <w:szCs w:val="21"/>
              </w:rPr>
            </w:pP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lastRenderedPageBreak/>
              <w:t>商品住房增值税和税金及其附加</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1003.2</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3009.6</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1003.2</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土地增值税</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182.4</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574.2</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182.4</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前期工程费用</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800</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建安成本</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13866.67</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22186.67</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19413.33</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管理费用</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330</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330</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330</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其他工程费用</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280</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448</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392</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销售费用</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 xml:space="preserve">　</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240</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600</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360</w:t>
            </w:r>
          </w:p>
        </w:tc>
      </w:tr>
      <w:tr w:rsidR="0014315C" w:rsidRPr="00E51F6E">
        <w:trPr>
          <w:trHeight w:val="300"/>
        </w:trPr>
        <w:tc>
          <w:tcPr>
            <w:tcW w:w="3380" w:type="dxa"/>
            <w:tcBorders>
              <w:top w:val="nil"/>
              <w:left w:val="single" w:sz="8" w:space="0" w:color="auto"/>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三、净现金流</w:t>
            </w:r>
          </w:p>
        </w:tc>
        <w:tc>
          <w:tcPr>
            <w:tcW w:w="1080"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-104V</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1537.73</w:t>
            </w:r>
          </w:p>
        </w:tc>
        <w:tc>
          <w:tcPr>
            <w:tcW w:w="1199"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27571.53</w:t>
            </w:r>
          </w:p>
        </w:tc>
        <w:tc>
          <w:tcPr>
            <w:tcW w:w="1202" w:type="dxa"/>
            <w:tcBorders>
              <w:top w:val="nil"/>
              <w:left w:val="nil"/>
              <w:bottom w:val="single" w:sz="8" w:space="0" w:color="auto"/>
              <w:right w:val="single" w:sz="8" w:space="0" w:color="auto"/>
            </w:tcBorders>
            <w:shd w:val="clear" w:color="auto" w:fill="auto"/>
          </w:tcPr>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39759.07</w:t>
            </w:r>
          </w:p>
        </w:tc>
      </w:tr>
    </w:tbl>
    <w:p w:rsidR="0014315C" w:rsidRPr="00E51F6E" w:rsidRDefault="0014315C">
      <w:pPr>
        <w:rPr>
          <w:rFonts w:ascii="微软雅黑" w:eastAsia="微软雅黑" w:hAnsi="微软雅黑" w:cs="黑体"/>
          <w:szCs w:val="21"/>
        </w:rPr>
      </w:pPr>
    </w:p>
    <w:p w:rsidR="0014315C" w:rsidRPr="00E51F6E" w:rsidRDefault="0014315C">
      <w:pPr>
        <w:rPr>
          <w:rFonts w:ascii="微软雅黑" w:eastAsia="微软雅黑" w:hAnsi="微软雅黑" w:cs="黑体"/>
          <w:szCs w:val="21"/>
        </w:rPr>
      </w:pPr>
      <w:r w:rsidRPr="00E51F6E">
        <w:rPr>
          <w:rFonts w:ascii="微软雅黑" w:eastAsia="微软雅黑" w:hAnsi="微软雅黑" w:cs="黑体" w:hint="eastAsia"/>
          <w:position w:val="-24"/>
          <w:szCs w:val="21"/>
        </w:rPr>
        <w:object w:dxaOrig="5318" w:dyaOrig="620">
          <v:shape id="_x0000_i1027" type="#_x0000_t75" style="width:266.25pt;height:30.75pt" o:ole="">
            <v:imagedata r:id="rId12" o:title=""/>
          </v:shape>
          <o:OLEObject Type="Embed" ProgID="Equation.DSMT4" ShapeID="_x0000_i1027" DrawAspect="Content" ObjectID="_1596532104" r:id="rId13"/>
        </w:objec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104V=54055.91</w:t>
      </w:r>
    </w:p>
    <w:p w:rsidR="0014315C" w:rsidRPr="00E51F6E" w:rsidRDefault="00642AC9">
      <w:pPr>
        <w:rPr>
          <w:rFonts w:ascii="微软雅黑" w:eastAsia="微软雅黑" w:hAnsi="微软雅黑" w:cs="黑体"/>
          <w:szCs w:val="21"/>
        </w:rPr>
      </w:pPr>
      <w:r w:rsidRPr="00E51F6E">
        <w:rPr>
          <w:rFonts w:ascii="微软雅黑" w:eastAsia="微软雅黑" w:hAnsi="微软雅黑" w:cs="黑体" w:hint="eastAsia"/>
          <w:szCs w:val="21"/>
        </w:rPr>
        <w:t>V=519.76</w:t>
      </w:r>
      <w:r w:rsidRPr="00E51F6E">
        <w:rPr>
          <w:rFonts w:ascii="微软雅黑" w:eastAsia="微软雅黑" w:hAnsi="微软雅黑" w:cs="黑体" w:hint="eastAsia"/>
          <w:szCs w:val="21"/>
        </w:rPr>
        <w:t>（万元</w:t>
      </w:r>
      <w:r w:rsidRPr="00E51F6E">
        <w:rPr>
          <w:rFonts w:ascii="微软雅黑" w:eastAsia="微软雅黑" w:hAnsi="微软雅黑" w:cs="黑体" w:hint="eastAsia"/>
          <w:szCs w:val="21"/>
        </w:rPr>
        <w:t>/</w:t>
      </w:r>
      <w:r w:rsidRPr="00E51F6E">
        <w:rPr>
          <w:rFonts w:ascii="微软雅黑" w:eastAsia="微软雅黑" w:hAnsi="微软雅黑" w:cs="黑体" w:hint="eastAsia"/>
          <w:szCs w:val="21"/>
        </w:rPr>
        <w:t>亩）</w:t>
      </w:r>
    </w:p>
    <w:sectPr w:rsidR="0014315C" w:rsidRPr="00E51F6E" w:rsidSect="0014315C">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AC9" w:rsidRDefault="00642AC9" w:rsidP="0014315C">
      <w:r>
        <w:separator/>
      </w:r>
    </w:p>
  </w:endnote>
  <w:endnote w:type="continuationSeparator" w:id="0">
    <w:p w:rsidR="00642AC9" w:rsidRDefault="00642AC9" w:rsidP="001431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docPartObj>
        <w:docPartGallery w:val="AutoText"/>
      </w:docPartObj>
    </w:sdtPr>
    <w:sdtContent>
      <w:sdt>
        <w:sdtPr>
          <w:id w:val="171357217"/>
          <w:docPartObj>
            <w:docPartGallery w:val="AutoText"/>
          </w:docPartObj>
        </w:sdtPr>
        <w:sdtContent>
          <w:p w:rsidR="0014315C" w:rsidRDefault="00642AC9">
            <w:pPr>
              <w:pStyle w:val="a4"/>
              <w:jc w:val="center"/>
              <w:rPr>
                <w:b/>
                <w:sz w:val="24"/>
                <w:szCs w:val="24"/>
              </w:rPr>
            </w:pPr>
            <w:r>
              <w:rPr>
                <w:lang w:val="zh-CN"/>
              </w:rPr>
              <w:t xml:space="preserve"> </w:t>
            </w:r>
            <w:r w:rsidR="0014315C">
              <w:rPr>
                <w:b/>
                <w:sz w:val="24"/>
                <w:szCs w:val="24"/>
              </w:rPr>
              <w:fldChar w:fldCharType="begin"/>
            </w:r>
            <w:r>
              <w:rPr>
                <w:b/>
              </w:rPr>
              <w:instrText>PAGE</w:instrText>
            </w:r>
            <w:r w:rsidR="0014315C">
              <w:rPr>
                <w:b/>
                <w:sz w:val="24"/>
                <w:szCs w:val="24"/>
              </w:rPr>
              <w:fldChar w:fldCharType="separate"/>
            </w:r>
            <w:r w:rsidR="00E51F6E">
              <w:rPr>
                <w:b/>
                <w:noProof/>
              </w:rPr>
              <w:t>1</w:t>
            </w:r>
            <w:r w:rsidR="0014315C">
              <w:rPr>
                <w:b/>
                <w:sz w:val="24"/>
                <w:szCs w:val="24"/>
              </w:rPr>
              <w:fldChar w:fldCharType="end"/>
            </w:r>
            <w:r>
              <w:rPr>
                <w:lang w:val="zh-CN"/>
              </w:rPr>
              <w:t xml:space="preserve"> </w:t>
            </w:r>
            <w:r>
              <w:rPr>
                <w:lang w:val="zh-CN"/>
              </w:rPr>
              <w:t xml:space="preserve">/ </w:t>
            </w:r>
            <w:r w:rsidR="0014315C">
              <w:rPr>
                <w:b/>
                <w:sz w:val="24"/>
                <w:szCs w:val="24"/>
              </w:rPr>
              <w:fldChar w:fldCharType="begin"/>
            </w:r>
            <w:r>
              <w:rPr>
                <w:b/>
              </w:rPr>
              <w:instrText>NUMPAGES</w:instrText>
            </w:r>
            <w:r w:rsidR="0014315C">
              <w:rPr>
                <w:b/>
                <w:sz w:val="24"/>
                <w:szCs w:val="24"/>
              </w:rPr>
              <w:fldChar w:fldCharType="separate"/>
            </w:r>
            <w:r w:rsidR="00E51F6E">
              <w:rPr>
                <w:b/>
                <w:noProof/>
              </w:rPr>
              <w:t>38</w:t>
            </w:r>
            <w:r w:rsidR="0014315C">
              <w:rPr>
                <w:b/>
                <w:sz w:val="24"/>
                <w:szCs w:val="24"/>
              </w:rPr>
              <w:fldChar w:fldCharType="end"/>
            </w:r>
          </w:p>
          <w:p w:rsidR="0014315C" w:rsidRDefault="0014315C">
            <w:pPr>
              <w:pStyle w:val="a4"/>
              <w:jc w:val="center"/>
              <w:rPr>
                <w:b/>
                <w:sz w:val="24"/>
                <w:szCs w:val="24"/>
              </w:rPr>
            </w:pPr>
          </w:p>
          <w:p w:rsidR="0014315C" w:rsidRDefault="00642AC9">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14315C" w:rsidRDefault="00642AC9">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14315C" w:rsidRDefault="001431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AC9" w:rsidRDefault="00642AC9" w:rsidP="0014315C">
      <w:r>
        <w:separator/>
      </w:r>
    </w:p>
  </w:footnote>
  <w:footnote w:type="continuationSeparator" w:id="0">
    <w:p w:rsidR="00642AC9" w:rsidRDefault="00642AC9" w:rsidP="001431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15C" w:rsidRDefault="00642AC9">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15C" w:rsidRDefault="00642AC9">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15C" w:rsidRDefault="00642AC9">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D8DB39"/>
    <w:multiLevelType w:val="singleLevel"/>
    <w:tmpl w:val="87D8DB39"/>
    <w:lvl w:ilvl="0">
      <w:start w:val="14"/>
      <w:numFmt w:val="decimal"/>
      <w:lvlText w:val="%1."/>
      <w:lvlJc w:val="left"/>
      <w:pPr>
        <w:tabs>
          <w:tab w:val="left" w:pos="312"/>
        </w:tabs>
      </w:pPr>
    </w:lvl>
  </w:abstractNum>
  <w:abstractNum w:abstractNumId="1">
    <w:nsid w:val="A5010AC3"/>
    <w:multiLevelType w:val="singleLevel"/>
    <w:tmpl w:val="A5010AC3"/>
    <w:lvl w:ilvl="0">
      <w:start w:val="11"/>
      <w:numFmt w:val="decimal"/>
      <w:lvlText w:val="%1."/>
      <w:lvlJc w:val="left"/>
      <w:pPr>
        <w:tabs>
          <w:tab w:val="left" w:pos="312"/>
        </w:tabs>
      </w:pPr>
    </w:lvl>
  </w:abstractNum>
  <w:abstractNum w:abstractNumId="2">
    <w:nsid w:val="A89B665A"/>
    <w:multiLevelType w:val="singleLevel"/>
    <w:tmpl w:val="A89B665A"/>
    <w:lvl w:ilvl="0">
      <w:start w:val="28"/>
      <w:numFmt w:val="decimal"/>
      <w:lvlText w:val="%1."/>
      <w:lvlJc w:val="left"/>
      <w:pPr>
        <w:tabs>
          <w:tab w:val="left" w:pos="312"/>
        </w:tabs>
      </w:pPr>
    </w:lvl>
  </w:abstractNum>
  <w:abstractNum w:abstractNumId="3">
    <w:nsid w:val="AF66A98B"/>
    <w:multiLevelType w:val="singleLevel"/>
    <w:tmpl w:val="AF66A98B"/>
    <w:lvl w:ilvl="0">
      <w:start w:val="10"/>
      <w:numFmt w:val="decimal"/>
      <w:lvlText w:val="%1."/>
      <w:lvlJc w:val="left"/>
      <w:pPr>
        <w:tabs>
          <w:tab w:val="left" w:pos="312"/>
        </w:tabs>
      </w:pPr>
    </w:lvl>
  </w:abstractNum>
  <w:abstractNum w:abstractNumId="4">
    <w:nsid w:val="BD82AB7A"/>
    <w:multiLevelType w:val="singleLevel"/>
    <w:tmpl w:val="BD82AB7A"/>
    <w:lvl w:ilvl="0">
      <w:start w:val="3"/>
      <w:numFmt w:val="decimal"/>
      <w:suff w:val="nothing"/>
      <w:lvlText w:val="（%1）"/>
      <w:lvlJc w:val="left"/>
    </w:lvl>
  </w:abstractNum>
  <w:abstractNum w:abstractNumId="5">
    <w:nsid w:val="01614CA6"/>
    <w:multiLevelType w:val="singleLevel"/>
    <w:tmpl w:val="01614CA6"/>
    <w:lvl w:ilvl="0">
      <w:start w:val="3"/>
      <w:numFmt w:val="decimal"/>
      <w:lvlText w:val="%1."/>
      <w:lvlJc w:val="left"/>
      <w:pPr>
        <w:tabs>
          <w:tab w:val="left" w:pos="312"/>
        </w:tabs>
      </w:pPr>
    </w:lvl>
  </w:abstractNum>
  <w:abstractNum w:abstractNumId="6">
    <w:nsid w:val="40BF4F0C"/>
    <w:multiLevelType w:val="singleLevel"/>
    <w:tmpl w:val="40BF4F0C"/>
    <w:lvl w:ilvl="0">
      <w:start w:val="31"/>
      <w:numFmt w:val="decimal"/>
      <w:lvlText w:val="%1."/>
      <w:lvlJc w:val="left"/>
      <w:pPr>
        <w:tabs>
          <w:tab w:val="left" w:pos="312"/>
        </w:tabs>
      </w:pPr>
    </w:lvl>
  </w:abstractNum>
  <w:abstractNum w:abstractNumId="7">
    <w:nsid w:val="66C011C7"/>
    <w:multiLevelType w:val="singleLevel"/>
    <w:tmpl w:val="66C011C7"/>
    <w:lvl w:ilvl="0">
      <w:start w:val="6"/>
      <w:numFmt w:val="decimal"/>
      <w:lvlText w:val="%1."/>
      <w:lvlJc w:val="left"/>
      <w:pPr>
        <w:tabs>
          <w:tab w:val="left" w:pos="312"/>
        </w:tabs>
      </w:pPr>
    </w:lvl>
  </w:abstractNum>
  <w:num w:numId="1">
    <w:abstractNumId w:val="1"/>
  </w:num>
  <w:num w:numId="2">
    <w:abstractNumId w:val="0"/>
  </w:num>
  <w:num w:numId="3">
    <w:abstractNumId w:val="2"/>
  </w:num>
  <w:num w:numId="4">
    <w:abstractNumId w:val="6"/>
  </w:num>
  <w:num w:numId="5">
    <w:abstractNumId w:val="7"/>
  </w:num>
  <w:num w:numId="6">
    <w:abstractNumId w:val="3"/>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55E3"/>
    <w:rsid w:val="0014315C"/>
    <w:rsid w:val="00642AC9"/>
    <w:rsid w:val="008555E3"/>
    <w:rsid w:val="00BF37DF"/>
    <w:rsid w:val="00CD1EA8"/>
    <w:rsid w:val="00E51F6E"/>
    <w:rsid w:val="00EA6440"/>
    <w:rsid w:val="00FA1F8A"/>
    <w:rsid w:val="03B879A6"/>
    <w:rsid w:val="35996101"/>
    <w:rsid w:val="5DDC23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15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4315C"/>
    <w:rPr>
      <w:sz w:val="18"/>
      <w:szCs w:val="18"/>
    </w:rPr>
  </w:style>
  <w:style w:type="paragraph" w:styleId="a4">
    <w:name w:val="footer"/>
    <w:basedOn w:val="a"/>
    <w:link w:val="Char0"/>
    <w:uiPriority w:val="99"/>
    <w:unhideWhenUsed/>
    <w:rsid w:val="0014315C"/>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14315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14315C"/>
    <w:rPr>
      <w:sz w:val="18"/>
      <w:szCs w:val="18"/>
    </w:rPr>
  </w:style>
  <w:style w:type="character" w:customStyle="1" w:styleId="Char0">
    <w:name w:val="页脚 Char"/>
    <w:basedOn w:val="a0"/>
    <w:link w:val="a4"/>
    <w:uiPriority w:val="99"/>
    <w:qFormat/>
    <w:rsid w:val="0014315C"/>
    <w:rPr>
      <w:sz w:val="18"/>
      <w:szCs w:val="18"/>
    </w:rPr>
  </w:style>
  <w:style w:type="character" w:customStyle="1" w:styleId="Char">
    <w:name w:val="批注框文本 Char"/>
    <w:basedOn w:val="a0"/>
    <w:link w:val="a3"/>
    <w:uiPriority w:val="99"/>
    <w:semiHidden/>
    <w:qFormat/>
    <w:rsid w:val="0014315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2362</Words>
  <Characters>13470</Characters>
  <Application>Microsoft Office Word</Application>
  <DocSecurity>0</DocSecurity>
  <Lines>112</Lines>
  <Paragraphs>31</Paragraphs>
  <ScaleCrop>false</ScaleCrop>
  <Company/>
  <LinksUpToDate>false</LinksUpToDate>
  <CharactersWithSpaces>15801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2018-08-20T06:37:00Z</dcterms:created>
  <dcterms:modified xsi:type="dcterms:W3CDTF">2018-08-23T04:20:00Z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