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C89" w:rsidRPr="004C3F57" w:rsidRDefault="00495FD6" w:rsidP="004C3F57">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r w:rsidRPr="004C3F57">
        <w:rPr>
          <w:rStyle w:val="a7"/>
          <w:rFonts w:ascii="微软雅黑" w:eastAsia="微软雅黑" w:hAnsi="微软雅黑" w:cs="黑体" w:hint="eastAsia"/>
          <w:color w:val="000000"/>
          <w:sz w:val="28"/>
          <w:szCs w:val="28"/>
        </w:rPr>
        <w:t>2018年房估《制度与政策》高频考点</w:t>
      </w:r>
      <w:bookmarkStart w:id="0" w:name="_GoBack"/>
      <w:bookmarkEnd w:id="0"/>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高频考点（第一章）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1.改革趋势：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（1）公共租赁住房和廉租住房并轨运行各地区要把廉租住房全部纳入公共租赁住房，实现统一规划建设、统一资金使用、统一申请受理、统一运营管理。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（2）发展共有产权住房供应对象是在城镇稳定就业一定年限的首次购房家庭和棚户区改造后扩大住房面积的家庭，只能享受一次；</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当居住一定年限后交易时，需按政府（或单位）与个人的产权比例分享收益；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可以涵盖经济适用住房和限价商品住房。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我国在以廉租住房制度、经济适用住房制度和公共租赁住房为主要内容的基本住房保障制度框架基础上，推进公共租赁住房和廉租住房并轨运行，探索发展共有产权住房，并通过棚户区改造等方式，积极改善其他住房困难群体的居住条件。（P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3.廉租住房由政府通过新建、改建、购置、租赁等方式筹集；新建廉租住房，实行土地划拨和税费减免；以低租金出租给符合条件的家庭。廉租住房单套建筑面积控制在50</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以内，保证基本居住功能。廉租住房保障也采取发放租赁补贴、由低收入家庭在市场上自行承租住房的方式。（P7）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4.住房公积金使用</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（1）发放个人住房贷款</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设立个人住房公积金账户，且连续足额正常缴存一定期限的职工，在购买、建造、翻建、大修自住住房时，可以向住房公积金管理中心申请住房公积金个人住房贷款。</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（2）购买国债在保证职工住房公积金提取和贷款的前提下，经住房公积金管理委员会批准，住房公积金管理中心可将住房公积金用于购买国债。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（3）贷款支持保障性住房建设试点（2009年）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试点城市在优先保证职工提取和个人住房贷款、留足备付准备金的前提下，可将50%以内的住房公积金结余资金贷款支持保障性住房建设，贷款利率按照五年期以上个人住房公积金贷款利率上浮10%执行。</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5.房地产行政法规由国务院制定并颁布实施。</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土地管理法实施条例》、《城市房地产开发经营管理条例》、《国有土地上房屋征收与补偿条例》、《城镇国有土地使用权出让和转让暂行条例》、《住房公积金管理条例》、《物业管理条例》、《不动产登记暂行条例》。</w:t>
      </w:r>
    </w:p>
    <w:p w:rsidR="003976E6" w:rsidRPr="004C3F57" w:rsidRDefault="003976E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高频考点（第二章）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1.建设用地是指用于建造建筑物、构筑物的土地。根据土地利用总体规划，土地按照用途分为农用地、建设用地和未利用地。（P20）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2.按建设用地的利用方式分类，可分为：商服用地、工矿仓储用地、公用设施用地、公共建筑用地、住宅用地、交通设施用地、水利设施用地、其他建设用地。</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按土地所有权的归属分类，可分为：国有建设用地、集体所有建设用地。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按建设用地的用途分类，可分为：非农业建设用地、农业建设用地。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3.国有土地上房屋征收的管理体制1.房屋征收主体。市、县级人民政府负责本行政区域的房屋征收与补偿工作。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2.房屋征收部门。是市、县级人民政府确定的房屋征收部门。房屋征收部门组织实施本行政区域的房屋征收与补偿工作。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房屋征收实施单位。房屋征收部门可以委托房屋征收实施单位，承担房屋征收与补偿的具体工作，并对其在委托范围内实施的房屋征收与补偿行为负责监督，对其行为后果承担法律责任。房屋征收实施单位不得以营利为目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4.房屋征收的监督与指导部门。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上级人民政府应当加强对下级人民政府房屋征收与补偿工作的监督。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国务院住房城乡建设主管部门和省、自治区、直辖市人民政府住房城乡建设主管部门应当会同同级财政、国土资源、发展与改革等有关部门，加强对房屋征收与补偿实施工作的指导。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监察机关应当加强对参与房屋征收与补偿工作的政府和有关部门或者单位及其工作人员的监察。</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4.房屋征收中的评估工作房屋征收中应由房地产估价机构评估、测算的内容主要有：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（1）被征收房屋的价值；</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（2）用于产权调换房屋的价值；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（3）被征收房屋类似房地产的市场价格。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屋征收评估收费房屋征收评估、鉴定费用由委托人承担，即房屋征收评估的费用由房屋征收部门承担，鉴定费用由进行委托的房屋征收当事人承担。但鉴定改变原评估结果的，鉴定费用由原房地产估价机构承担。房地产估价机构受托进行复核评估的，不再收取评估费用。</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高频考点（第三章）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1.征收与征用的异同征收是国家强制取得集体和单位、个人的财产；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征用是国家强制使用集体和单位、个人的财产。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共同之处主要有两点：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一是强制性，即都不必得到财产所有权人的同意；</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二是补偿性，即都应给予公平补偿。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征收与征用的主要区别如下：</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（1）适用对象不同。征收的财产主要是不动产，征用的财产既包括不动产也包括动产。</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（2）前提条件不同。征收是为了国防和外交以及由政府组织实施的基础设施建设、公共事业、保障性安居工程建设、旧城区改建等公共利益的需要，征用是因抢险、救灾等紧急需要。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（3）所有权转移不同。征收主要是所有权的改变，不存在返还的问题，通俗地说是“强买”；征用只是使用权的改变，被征用的财产使用后，应返还被征用人，通俗地说是“强租”。</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（4）补偿内容不同。</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《物权法》对征收规定了具体的补偿办法，这就是说任何征收都要给予补偿，而且必须依法补偿。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征用在财产使用后首先应及时返还被征用人。《物权法》只是规定应当给予补偿，补偿办法可以由双方依据法律规定协商确定。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w:t>
      </w:r>
      <w:proofErr w:type="gramStart"/>
      <w:r w:rsidRPr="004C3F57">
        <w:rPr>
          <w:rFonts w:ascii="微软雅黑" w:eastAsia="微软雅黑" w:hAnsi="微软雅黑" w:cs="黑体" w:hint="eastAsia"/>
          <w:color w:val="000000"/>
          <w:sz w:val="21"/>
          <w:szCs w:val="21"/>
        </w:rPr>
        <w:t>作出</w:t>
      </w:r>
      <w:proofErr w:type="gramEnd"/>
      <w:r w:rsidRPr="004C3F57">
        <w:rPr>
          <w:rFonts w:ascii="微软雅黑" w:eastAsia="微软雅黑" w:hAnsi="微软雅黑" w:cs="黑体" w:hint="eastAsia"/>
          <w:color w:val="000000"/>
          <w:sz w:val="21"/>
          <w:szCs w:val="21"/>
        </w:rPr>
        <w:t>房屋征收决定前，征收补偿费用应当足额到位、专户存储、专款专用。（P57）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对被征收人给予的补偿内容包括：（1）被征收房屋价值的补偿。对被征收房屋价值的补偿，不得低于房屋征收决定公告之日被征收房屋类似房地产的市场价格。（2）因征收房屋造成的搬迁、临时安置的补偿。（3）因征收房屋造成的停产停业损失的补偿。（P58）</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4.房屋征收中的评估工作房屋征收中应由房地产估价机构评估、测算的内容主要有：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（1）被征收房屋的价值；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（2）用于产权调换房屋的价值；</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（3）被征收房屋类似房地产的市场价格。</w:t>
      </w:r>
    </w:p>
    <w:p w:rsidR="00AB5C89" w:rsidRPr="004C3F57" w:rsidRDefault="00AB5C89" w:rsidP="003976E6">
      <w:pPr>
        <w:pStyle w:val="a6"/>
        <w:widowControl/>
        <w:spacing w:before="150" w:beforeAutospacing="0" w:after="150" w:afterAutospacing="0" w:line="360" w:lineRule="auto"/>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高频考点（第四章）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1.城乡规划编制的依据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（1）城市的总体规划必须以所在省、自治区的省域城镇体系规划为依据；城市详细规划必须以所在城市的总体规划为依据；修建性详细规划必须以控制性详细规划为依据。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（2）市辖县、区、乡镇域总体规划应当以所在城市的市域总体规划为依据。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（3）单独编制的各项专业规划应当以城市总体规划为依据。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（4）以上一层次的城市规划为依据，前提是这项规划必须是依法批准并有效。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（5）因超过规划期限或因现实情况已经发生了变化的上一层次规划，且必须做调整的，依法调整后，方可指导下一层次规划的编制和审批。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（6）上级人民政府对下级人民政府制定城乡规划有责任提出指导性意见。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2.城市规划的实施管理主要是报建审批管理和批后管理。报建审批管理主要包括对建设项目选址审批核发项目选址意见书，对城市用地审批核发建设用地规划许可证，对建设工程</w:t>
      </w:r>
      <w:r w:rsidRPr="004C3F57">
        <w:rPr>
          <w:rFonts w:ascii="微软雅黑" w:eastAsia="微软雅黑" w:hAnsi="微软雅黑" w:cs="黑体" w:hint="eastAsia"/>
          <w:color w:val="000000"/>
          <w:sz w:val="21"/>
          <w:szCs w:val="21"/>
        </w:rPr>
        <w:lastRenderedPageBreak/>
        <w:t>审批核发建设工程规划许可证。批后管理主要是按照规划实施监督检查体系对违章占地和违章建设的查禁工作。（P73）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3.勘察设计单位的资质管理1.建设工程勘察、设计资质分为工程勘察资质、工程设计资质。</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工程勘察资质分为工程勘察综合资质、工程勘察专业资质、工程勘察劳务资质。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工程设计资质分为工程设计综合资质、工程设计行业资质、工程设计专业资质和工程设计专项资质。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4.工程建设必须招标的范围：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（1）大型基础设施、公用事业等关系社会公共利益、公众安全的项目；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（2）全部或者部分使用国有资金投资或者国家融资项目；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（3）使用国际组织或者外国政府贷款、援助资金的项目；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（4）其它。（P85）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5.勘察设计的监督管理国务院住房城乡建设主管部门对全国的建设工程勘察、设计活动实施统一监督管理。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建设工程勘察、设计单位在建设工程勘察、设计资质证书规定的业务范围内可以跨部门、跨地区承揽勘察、设计业务。</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施工图设计文件未经审查批准的，不得使用。</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高频考点（第五章）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Style w:val="a7"/>
          <w:rFonts w:ascii="微软雅黑" w:eastAsia="微软雅黑" w:hAnsi="微软雅黑" w:cs="黑体" w:hint="eastAsia"/>
          <w:color w:val="000000"/>
          <w:sz w:val="21"/>
          <w:szCs w:val="21"/>
        </w:rPr>
        <w:t xml:space="preserve">　　</w:t>
      </w:r>
      <w:r w:rsidRPr="004C3F57">
        <w:rPr>
          <w:rFonts w:ascii="微软雅黑" w:eastAsia="微软雅黑" w:hAnsi="微软雅黑" w:cs="黑体" w:hint="eastAsia"/>
          <w:color w:val="000000"/>
          <w:sz w:val="21"/>
          <w:szCs w:val="21"/>
        </w:rPr>
        <w:t>1.确定房地产开发项目的原则</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确定房地产开发项目，应当符合土地利用总体规划、年度建设用地计划和城市规划、房地产开发年度计划的要求；按照国家有关规定需要经国家发展改革主管部门批准的，还应当报国家发展改革主管部门批准，并纳入年度固定资产投资计划。</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（2）房地产开发项目，应当坚持旧区改建和新区建设相结合的原则，注重开发基础设施薄弱、交通拥挤、环境污染严重以及危旧房集中的区域，保护和改善城市生态环境，保护历史文化遗产。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2.新设立的房地产开发企业，应当自领取营业执照之日起30日内，到登记机关所在地的房地产开发主管部门备案。（P105）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3.项目手册制度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（1）房地产开发企业应当将房地产开发项目建设过程中的主要事项记录在房地产开发项目手册中，并定期送房地产开发主管部门备案。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（2）房地产开发项目实行项目手册制度是政府行业管理部门对房地产开发企业是否按照有关法律、法规规定，是否按照合同的约定进行开发建设而建立的一项动态管理制度。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4.商品住宅的保修期从商品住宅交付之日起计算。商品住宅的保修期不得低于建设工程承包单位向建设单位出具的质量保修书约定保修的存续期。（P113）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5.房地产广告不得包含的内容《广告法》第二十六条规定：房地产广告，房源信息应当真实，面积应当表明为建筑面积或者套内建筑面积，并不得含有下列内容：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（1）升值或者投资回报的承诺；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（2）以项目到达某一具体参照物的所需时间表示项目位置；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（3）违反国家有关价格管理的规定；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（4）对规划或者建设中的交通、商业、文化教育设施以及其他市政条件作误导宣传。</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高频考点（第六章）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1.房地产转让的概念——指房地产权利人通过买卖、赠与或者其他合法方式将其房地产转移给他人的行为。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其他合法方式主要包括下列行为：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（1）以房地产作价入股、与他人成立企业法人，房地产权属发生变更的；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（2）一方提供土地使用权，另一方或者多方提供资金，合资、合作开发经营房地产，而使房地产权属发生变更的；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（3）因企业被收购、兼并或合并，房地产权属随之转移的；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（4）以房地产抵债的；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（5）法律、法规规定的其他情形。</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房地产转让的实质是房地产权属发生转移。</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房地产转让时，房屋所有权和该房屋所占用范围内的土地使用权同时转让。</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2.房地产交易的基本制度：房地产价格申报制度；房地产价格评估制度；房地产价格评估人员资格认证制度。（P119）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3.成交价格明显低于正常市场价格的，以评估价格作为缴纳税费的依据。（P119）</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4.共同共有房屋的转让1.除非另有约定，共同共有人处分共有房屋，须经全体共同共有人同意。</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具有家庭关系的共同共有人，只有在共有的基础丧失或者有重大理由需要分割共有房屋时，才可以请求分割。分割后，共同共用的房屋变为按份共有的房屋，按份共有房屋的所有权人可以自由处分分割所得份额。</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5.商品房现售商品房现售，必须符合以下条件：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（1）出售商品房的房地产开发企业应当具有企业法人营业执照和房地产开发企业资质证书；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（2）取得土地使用权证书或使用土地的批准文件；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（3）持有建设工程规划许可证和施工许可证；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（4）已通过竣工验收；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（5）拆迁安置已经落实；</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（6）供水、供电、供热、燃气、通讯等配套设施设备交付使用条件，其他配套基础设施和公共设备具备交付使用条件或已确定施工进度和交付日期；</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（7）物业管理方案已经落实。</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高频考点（第七章）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1.不动产登记机构职责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（1）查验申请人提供的权属证明和其他必要材料；</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（2）就有关登记事项询问申请人；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（3）如实、及时登记有关事项；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（4）法律、行政法规规定的其他职责。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（5）不动产登记机构不得要求对不动产进行评估；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（6）不得以年检等名义进行重复登记；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（7）不得有超出登记职责范围的其他行为。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2.不动产物权生效时间（P154）</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（1）法定生效，及根据法律物权生效。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（2）基于法律行为的物权生效时间为自记载于不动产登记簿生效。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（3）基于事实行为发生的物权变动，只要事实行为发生，不经登记，物权变动也发生效力。</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3.权利人、利害关系人可以申请查询、复制登记资料。（P155）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4.证书工本费不动产登记机构按上述规定收取不动产登记费，核发一本不动产权属证书的不收取证书工本费。向一个以上不动产权利人核发权属证书的，每增加一本证书加收证书工本费10元。</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不动产登记机构依法核发不动产登记证明，不得收取登记证明工本费。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5.房地产面积测算的一般规定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（1）房地产面积的测算，均指水平投影面积的测算。</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（2）各</w:t>
      </w:r>
      <w:proofErr w:type="gramStart"/>
      <w:r w:rsidRPr="004C3F57">
        <w:rPr>
          <w:rFonts w:ascii="微软雅黑" w:eastAsia="微软雅黑" w:hAnsi="微软雅黑" w:cs="黑体" w:hint="eastAsia"/>
          <w:color w:val="000000"/>
          <w:sz w:val="21"/>
          <w:szCs w:val="21"/>
        </w:rPr>
        <w:t>类面积</w:t>
      </w:r>
      <w:proofErr w:type="gramEnd"/>
      <w:r w:rsidRPr="004C3F57">
        <w:rPr>
          <w:rFonts w:ascii="微软雅黑" w:eastAsia="微软雅黑" w:hAnsi="微软雅黑" w:cs="黑体" w:hint="eastAsia"/>
          <w:color w:val="000000"/>
          <w:sz w:val="21"/>
          <w:szCs w:val="21"/>
        </w:rPr>
        <w:t>的测算，必须独立测算两次，其较差应在规定的限差以内，取中数作为最后结果。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（3）边长以m为单位，取至0.01m；面积以</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为单位，取至0.01</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.（4）</w:t>
      </w:r>
      <w:proofErr w:type="gramStart"/>
      <w:r w:rsidRPr="004C3F57">
        <w:rPr>
          <w:rFonts w:ascii="微软雅黑" w:eastAsia="微软雅黑" w:hAnsi="微软雅黑" w:cs="黑体" w:hint="eastAsia"/>
          <w:color w:val="000000"/>
          <w:sz w:val="21"/>
          <w:szCs w:val="21"/>
        </w:rPr>
        <w:t>量距应</w:t>
      </w:r>
      <w:proofErr w:type="gramEnd"/>
      <w:r w:rsidRPr="004C3F57">
        <w:rPr>
          <w:rFonts w:ascii="微软雅黑" w:eastAsia="微软雅黑" w:hAnsi="微软雅黑" w:cs="黑体" w:hint="eastAsia"/>
          <w:color w:val="000000"/>
          <w:sz w:val="21"/>
          <w:szCs w:val="21"/>
        </w:rPr>
        <w:t>使用经鉴定合格的卷尺或其他能达到相应精度的仪器或工具。</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（5）楼层高度是指上下两层楼面或楼面与地面之间的垂直距离。</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lastRenderedPageBreak/>
        <w:t>2018年房估《制度与政策》</w:t>
      </w:r>
      <w:proofErr w:type="gramEnd"/>
      <w:r w:rsidRPr="004C3F57">
        <w:rPr>
          <w:rStyle w:val="a7"/>
          <w:rFonts w:ascii="微软雅黑" w:eastAsia="微软雅黑" w:hAnsi="微软雅黑" w:cs="黑体" w:hint="eastAsia"/>
          <w:color w:val="000000"/>
          <w:sz w:val="21"/>
          <w:szCs w:val="21"/>
        </w:rPr>
        <w:t>高频考点（第八章）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1.一级房地产估价机构标准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（1）机构名称有房地产估价或者房地产评估字样；</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（2）从事房地产估价活动连续6年以上，且取得二级房地产估价机构3年以上；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（3）有15名以上专职</w:t>
      </w:r>
      <w:hyperlink r:id="rId8" w:tgtFrame="http://www.jianshe99.com/gujia/ziliao/_blank" w:tooltip="注册房地产估价师" w:history="1">
        <w:r w:rsidRPr="004C3F57">
          <w:rPr>
            <w:rStyle w:val="a8"/>
            <w:rFonts w:ascii="微软雅黑" w:eastAsia="微软雅黑" w:hAnsi="微软雅黑" w:cs="黑体" w:hint="eastAsia"/>
            <w:color w:val="333333"/>
            <w:sz w:val="21"/>
            <w:szCs w:val="21"/>
            <w:u w:val="none"/>
          </w:rPr>
          <w:t>注册房地产估价师</w:t>
        </w:r>
      </w:hyperlink>
      <w:r w:rsidRPr="004C3F57">
        <w:rPr>
          <w:rFonts w:ascii="微软雅黑" w:eastAsia="微软雅黑" w:hAnsi="微软雅黑" w:cs="黑体" w:hint="eastAsia"/>
          <w:color w:val="000000"/>
          <w:sz w:val="21"/>
          <w:szCs w:val="21"/>
        </w:rPr>
        <w:t>；</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（4）在申请核定等级之日前3年平均每年完成估价标的物建筑面积50万</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以上或者土地面积25万</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（5）法定代表人或执行合伙人是注册后从事房地产估价工作3年以上的专职注册房地产估价师；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（6）有限责任公司的股东中有3名以上、合伙企业的合伙人中有2名以上专职注册房地产估价师，股东或者合伙人中有一半以上是注册后从事房地产估价工作3年以上的专职注册房地产估价师；</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（7）有限责任公司的股份或者合伙企业的出资额中专职注册房地产估价师的股份或者出资额合计不低于60%；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（8）有固定的经营服务场所；</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（9）估价质量管理、估价档案管理、财务管理等各项企业内部管理制度健全；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（10）随机抽查的1份房地产估价报告符合《房地产估价规范》的要求；</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（11）在申请核定等级之日前3年内无《房地产估价机构管理办法》第三十三条禁止的行为。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2.房地产估价收费一般按照评估总额的一定比例收取。（P179）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3.房地产经纪服务收费（P179）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（1）房屋租赁代理收费——无论租期长短，按半月至一月租金标准，由双方协商议定；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（2）房屋买卖代理收费——按成交价格总额的一定比例收取，比例一般为0.5%～3%.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4.注册房地产估价师享有的权利：</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（1）使用注册房地产估价师名称；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（2）在规定范围内执行房地产估价及相关业务；</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（3）签署房地产估价报告；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（4）发起设立房地产估价机构；</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（5）保管和使用本人的注册证书；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（6）对本人执业活动进行解释和辩护；</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（7）参加继续教育；</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（8）获得相应的劳动报酬；</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（9）对侵犯本人权利的行为进行申诉。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5.房地产中介服务行业规范1999年，中国房地产估价师与房地产经纪人学会编制了国家标准《房地产估价规范》（CB/T50291—1999），在此基础上制定了《房地产抵押估价指导意见》。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2006年10月，发布了《房地产经纪执业规则》和《房地产经纪业务合同推荐文本》。</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高频考点（第九章）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1.减税、免税下列情况免征土地增值税：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（1）纳税人建造普通标准住宅出售，其土地增值额未超过扣除金额20%的；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（2）因国家建设需要而被政府征收的房地产。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纳税人建造普通标准住宅出售，增值额未超过扣除项目金额之和20%的，免征土地增值税；增值额超过扣除项目之和20%的，应就其全部增值额按规定计税。</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因城市实施规划、国家建设的需要而搬迁，由纳税人自行转让原房地产的，免征土地增值税。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符合上述免税规定的单位和个人，须向房地产所在地税务机关提出免税申请，经审核后免征。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2.物业共用部位、共用设施设备的维修和更新、改造费用，应通过专项维修资金予以列支，</w:t>
      </w:r>
      <w:proofErr w:type="gramStart"/>
      <w:r w:rsidRPr="004C3F57">
        <w:rPr>
          <w:rFonts w:ascii="微软雅黑" w:eastAsia="微软雅黑" w:hAnsi="微软雅黑" w:cs="黑体" w:hint="eastAsia"/>
          <w:color w:val="000000"/>
          <w:sz w:val="21"/>
          <w:szCs w:val="21"/>
        </w:rPr>
        <w:t>不</w:t>
      </w:r>
      <w:proofErr w:type="gramEnd"/>
      <w:r w:rsidRPr="004C3F57">
        <w:rPr>
          <w:rFonts w:ascii="微软雅黑" w:eastAsia="微软雅黑" w:hAnsi="微软雅黑" w:cs="黑体" w:hint="eastAsia"/>
          <w:color w:val="000000"/>
          <w:sz w:val="21"/>
          <w:szCs w:val="21"/>
        </w:rPr>
        <w:t>得计入物业服务支出或成本中。（P227）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3.物业服务定价成本监审应当遵守的原则：合法性原则、相关性原则、对应性原则、合理性原则。（P227）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4.课税对象契税的征税对象是发生产权转移变动的土地、房屋。</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营业税改征增值税2016年5月1日，建筑业、房地产业营业税改为增值税，提供不动产租赁服务、销售不动产、转让土地使用权，增值税率为11%.年销售额超过规定标准500万的为一般纳税人，低于该标准的为小规模纳税人。</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2018年房估《制度与政策》</w:t>
      </w:r>
      <w:proofErr w:type="gramEnd"/>
      <w:r w:rsidRPr="004C3F57">
        <w:rPr>
          <w:rStyle w:val="a7"/>
          <w:rFonts w:ascii="微软雅黑" w:eastAsia="微软雅黑" w:hAnsi="微软雅黑" w:cs="黑体" w:hint="eastAsia"/>
          <w:color w:val="000000"/>
          <w:sz w:val="21"/>
          <w:szCs w:val="21"/>
        </w:rPr>
        <w:t>高频考点（第十章）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1.纳税地点和纳税期限房产税在房产所在地缴纳。房产不在同一地方的纳税人，应分别向房产所在地的税务机关纳税。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房产税按年计征，分期缴纳。具体纳税期限由各省、自治区、直辖市人民政府规定。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2.免征房产税的情形（P235）</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（1）国家机关、人民团体、军队自用的房产，但上述单位的出租房产以及非自身业务使用的生产、经营用房，不属于免税范围；</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由国家财政部门拨付事业经费的单位自用的房产；（3）宗教寺庙、公园、名胜古迹自用的房产，但其附设的营业用房及出租的房产，不属于免税范围；（4）个人所有非营业用的房产；（5）经财政部批准免税的其他房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3.政策性免税的情形（P238）</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（1）国家机关、人民团体、军队自用的土地；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（2）由国家财政部门拨付事业经费的单位自用的土地；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（3）宗教寺庙、公园、名胜古迹自用的土地；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（4）市政街道、广场、绿化地带等公共用地；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（5）直接用于农、林、牧、渔业的生产用地；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（6）经批准开山填海整治的土地和改造的废弃土地，从使用的月份起免缴城镇土地使用税5～10年；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（7）由财政部另行规定的能源、交通、水利等设施用地和其他用地。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4.纳税人凡有偿转让国有土地使用权、地上建筑物及其他附着物（以下简称转让房地产）并取得收入的单位和个人为土地增值税的纳税人。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各类企业单位、事业单位、国家机关、社会团体和其他组织，以及个体经营者、外商投资企业、外国企业及外国驻华机构，以及外国公民、华侨、港澳同胞等均在土地增值税的纳税义务人范围内。</w:t>
      </w:r>
    </w:p>
    <w:p w:rsidR="00AB5C89" w:rsidRPr="004C3F57" w:rsidRDefault="00495FD6" w:rsidP="003976E6">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税率和应纳税额的计算土地增值税实行四级超额累进税率：</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（1）增值额未超过扣除项目金额50%的部分，税率为30%，应纳税额＝土地增值额×30%；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（2）增值额超过扣除项目金额50%，未超过100%的部分，税率为40%，应纳税额＝土地增值额×40%－扣除项目×5%；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（3）增值额超过扣除项目金额100%，未超过200%的部分，税率为50%，应纳税额＝土地增值额×50%－扣除项目×15%；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（4）增值额超过扣除项目金额200%以上部分，税率为60%，应纳税额＝土地增值额×60%－扣除项目×35%.每级“增值额未超过扣除项目金额”的比例均包括本比例数。</w:t>
      </w: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spacing w:line="360" w:lineRule="auto"/>
        <w:rPr>
          <w:rFonts w:ascii="微软雅黑" w:eastAsia="微软雅黑" w:hAnsi="微软雅黑" w:cs="黑体"/>
          <w:szCs w:val="21"/>
        </w:rPr>
      </w:pPr>
    </w:p>
    <w:sectPr w:rsidR="00AB5C89" w:rsidRPr="004C3F57" w:rsidSect="00AB5C89">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11A" w:rsidRDefault="00B4711A" w:rsidP="00AB5C89">
      <w:r>
        <w:separator/>
      </w:r>
    </w:p>
  </w:endnote>
  <w:endnote w:type="continuationSeparator" w:id="0">
    <w:p w:rsidR="00B4711A" w:rsidRDefault="00B4711A" w:rsidP="00AB5C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AB5C89" w:rsidRDefault="00495FD6">
            <w:pPr>
              <w:pStyle w:val="a4"/>
              <w:jc w:val="center"/>
              <w:rPr>
                <w:b/>
                <w:sz w:val="24"/>
                <w:szCs w:val="24"/>
              </w:rPr>
            </w:pPr>
            <w:r>
              <w:rPr>
                <w:lang w:val="zh-CN"/>
              </w:rPr>
              <w:t xml:space="preserve"> </w:t>
            </w:r>
            <w:r w:rsidR="00C53211">
              <w:rPr>
                <w:b/>
                <w:sz w:val="24"/>
                <w:szCs w:val="24"/>
              </w:rPr>
              <w:fldChar w:fldCharType="begin"/>
            </w:r>
            <w:r>
              <w:rPr>
                <w:b/>
              </w:rPr>
              <w:instrText>PAGE</w:instrText>
            </w:r>
            <w:r w:rsidR="00C53211">
              <w:rPr>
                <w:b/>
                <w:sz w:val="24"/>
                <w:szCs w:val="24"/>
              </w:rPr>
              <w:fldChar w:fldCharType="separate"/>
            </w:r>
            <w:r w:rsidR="004C3F57">
              <w:rPr>
                <w:b/>
                <w:noProof/>
              </w:rPr>
              <w:t>18</w:t>
            </w:r>
            <w:r w:rsidR="00C53211">
              <w:rPr>
                <w:b/>
                <w:sz w:val="24"/>
                <w:szCs w:val="24"/>
              </w:rPr>
              <w:fldChar w:fldCharType="end"/>
            </w:r>
            <w:r>
              <w:rPr>
                <w:lang w:val="zh-CN"/>
              </w:rPr>
              <w:t xml:space="preserve"> / </w:t>
            </w:r>
            <w:r w:rsidR="00C53211">
              <w:rPr>
                <w:b/>
                <w:sz w:val="24"/>
                <w:szCs w:val="24"/>
              </w:rPr>
              <w:fldChar w:fldCharType="begin"/>
            </w:r>
            <w:r>
              <w:rPr>
                <w:b/>
              </w:rPr>
              <w:instrText>NUMPAGES</w:instrText>
            </w:r>
            <w:r w:rsidR="00C53211">
              <w:rPr>
                <w:b/>
                <w:sz w:val="24"/>
                <w:szCs w:val="24"/>
              </w:rPr>
              <w:fldChar w:fldCharType="separate"/>
            </w:r>
            <w:r w:rsidR="004C3F57">
              <w:rPr>
                <w:b/>
                <w:noProof/>
              </w:rPr>
              <w:t>19</w:t>
            </w:r>
            <w:r w:rsidR="00C53211">
              <w:rPr>
                <w:b/>
                <w:sz w:val="24"/>
                <w:szCs w:val="24"/>
              </w:rPr>
              <w:fldChar w:fldCharType="end"/>
            </w:r>
          </w:p>
          <w:p w:rsidR="00AB5C89" w:rsidRDefault="00AB5C89">
            <w:pPr>
              <w:pStyle w:val="a4"/>
              <w:jc w:val="center"/>
              <w:rPr>
                <w:b/>
                <w:sz w:val="24"/>
                <w:szCs w:val="24"/>
              </w:rPr>
            </w:pPr>
          </w:p>
          <w:p w:rsidR="00AB5C89" w:rsidRDefault="00495FD6">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AB5C89" w:rsidRDefault="00495FD6">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AB5C89" w:rsidRDefault="00AB5C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11A" w:rsidRDefault="00B4711A" w:rsidP="00AB5C89">
      <w:r>
        <w:separator/>
      </w:r>
    </w:p>
  </w:footnote>
  <w:footnote w:type="continuationSeparator" w:id="0">
    <w:p w:rsidR="00B4711A" w:rsidRDefault="00B4711A" w:rsidP="00AB5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5CC14"/>
    <w:multiLevelType w:val="singleLevel"/>
    <w:tmpl w:val="64B5CC14"/>
    <w:lvl w:ilvl="0">
      <w:start w:val="5"/>
      <w:numFmt w:val="decimal"/>
      <w:lvlText w:val="%1."/>
      <w:lvlJc w:val="left"/>
      <w:pPr>
        <w:tabs>
          <w:tab w:val="left" w:pos="312"/>
        </w:tabs>
        <w:ind w:left="48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3976E6"/>
    <w:rsid w:val="00495FD6"/>
    <w:rsid w:val="004C3F57"/>
    <w:rsid w:val="008555E3"/>
    <w:rsid w:val="00AB5C89"/>
    <w:rsid w:val="00B4711A"/>
    <w:rsid w:val="00BF37DF"/>
    <w:rsid w:val="00C53211"/>
    <w:rsid w:val="00CD1EA8"/>
    <w:rsid w:val="00EA6440"/>
    <w:rsid w:val="00FA1F8A"/>
    <w:rsid w:val="4F1B6354"/>
    <w:rsid w:val="4FA8738A"/>
    <w:rsid w:val="51813C26"/>
    <w:rsid w:val="60374BE2"/>
    <w:rsid w:val="6EDF3D9D"/>
    <w:rsid w:val="74261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8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B5C89"/>
    <w:rPr>
      <w:sz w:val="18"/>
      <w:szCs w:val="18"/>
    </w:rPr>
  </w:style>
  <w:style w:type="paragraph" w:styleId="a4">
    <w:name w:val="footer"/>
    <w:basedOn w:val="a"/>
    <w:link w:val="Char0"/>
    <w:uiPriority w:val="99"/>
    <w:unhideWhenUsed/>
    <w:qFormat/>
    <w:rsid w:val="00AB5C89"/>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AB5C8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AB5C89"/>
    <w:pPr>
      <w:spacing w:beforeAutospacing="1" w:afterAutospacing="1"/>
      <w:jc w:val="left"/>
    </w:pPr>
    <w:rPr>
      <w:rFonts w:cs="Times New Roman"/>
      <w:kern w:val="0"/>
      <w:sz w:val="24"/>
    </w:rPr>
  </w:style>
  <w:style w:type="character" w:styleId="a7">
    <w:name w:val="Strong"/>
    <w:basedOn w:val="a0"/>
    <w:qFormat/>
    <w:rsid w:val="00AB5C89"/>
    <w:rPr>
      <w:b/>
    </w:rPr>
  </w:style>
  <w:style w:type="character" w:styleId="a8">
    <w:name w:val="Hyperlink"/>
    <w:basedOn w:val="a0"/>
    <w:uiPriority w:val="99"/>
    <w:semiHidden/>
    <w:unhideWhenUsed/>
    <w:qFormat/>
    <w:rsid w:val="00AB5C89"/>
    <w:rPr>
      <w:color w:val="0000FF"/>
      <w:u w:val="single"/>
    </w:rPr>
  </w:style>
  <w:style w:type="character" w:customStyle="1" w:styleId="Char1">
    <w:name w:val="页眉 Char"/>
    <w:basedOn w:val="a0"/>
    <w:link w:val="a5"/>
    <w:uiPriority w:val="99"/>
    <w:semiHidden/>
    <w:rsid w:val="00AB5C89"/>
    <w:rPr>
      <w:sz w:val="18"/>
      <w:szCs w:val="18"/>
    </w:rPr>
  </w:style>
  <w:style w:type="character" w:customStyle="1" w:styleId="Char0">
    <w:name w:val="页脚 Char"/>
    <w:basedOn w:val="a0"/>
    <w:link w:val="a4"/>
    <w:uiPriority w:val="99"/>
    <w:rsid w:val="00AB5C89"/>
    <w:rPr>
      <w:sz w:val="18"/>
      <w:szCs w:val="18"/>
    </w:rPr>
  </w:style>
  <w:style w:type="character" w:customStyle="1" w:styleId="Char">
    <w:name w:val="批注框文本 Char"/>
    <w:basedOn w:val="a0"/>
    <w:link w:val="a3"/>
    <w:uiPriority w:val="99"/>
    <w:semiHidden/>
    <w:rsid w:val="00AB5C8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ianshe99.com/guj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