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A0D" w:rsidRPr="00156362" w:rsidRDefault="004446B2" w:rsidP="00156362">
      <w:pPr>
        <w:pStyle w:val="a6"/>
        <w:widowControl/>
        <w:spacing w:before="150" w:beforeAutospacing="0" w:after="150" w:afterAutospacing="0" w:line="360" w:lineRule="auto"/>
        <w:jc w:val="center"/>
        <w:rPr>
          <w:rStyle w:val="a7"/>
          <w:rFonts w:ascii="微软雅黑" w:eastAsia="微软雅黑" w:hAnsi="微软雅黑" w:cs="黑体"/>
          <w:color w:val="000000"/>
          <w:sz w:val="28"/>
          <w:szCs w:val="28"/>
        </w:rPr>
      </w:pPr>
      <w:bookmarkStart w:id="0" w:name="_GoBack"/>
      <w:r w:rsidRPr="00156362">
        <w:rPr>
          <w:rStyle w:val="a7"/>
          <w:rFonts w:ascii="微软雅黑" w:eastAsia="微软雅黑" w:hAnsi="微软雅黑" w:cs="黑体" w:hint="eastAsia"/>
          <w:color w:val="000000"/>
          <w:sz w:val="28"/>
          <w:szCs w:val="28"/>
        </w:rPr>
        <w:t>2018年房估《理论与方法》高频考点</w:t>
      </w:r>
      <w:bookmarkEnd w:id="0"/>
    </w:p>
    <w:p w:rsidR="004D3A0D" w:rsidRPr="00156362" w:rsidRDefault="004446B2" w:rsidP="007D35C8">
      <w:pPr>
        <w:pStyle w:val="a6"/>
        <w:widowControl/>
        <w:spacing w:before="150" w:beforeAutospacing="0" w:after="150" w:afterAutospacing="0" w:line="360" w:lineRule="auto"/>
        <w:ind w:firstLine="420"/>
        <w:jc w:val="center"/>
        <w:rPr>
          <w:rFonts w:ascii="微软雅黑" w:eastAsia="微软雅黑" w:hAnsi="微软雅黑" w:cs="黑体"/>
          <w:color w:val="000000"/>
          <w:sz w:val="21"/>
          <w:szCs w:val="21"/>
        </w:rPr>
      </w:pPr>
      <w:proofErr w:type="gramStart"/>
      <w:r w:rsidRPr="00156362">
        <w:rPr>
          <w:rStyle w:val="a7"/>
          <w:rFonts w:ascii="微软雅黑" w:eastAsia="微软雅黑" w:hAnsi="微软雅黑" w:cs="黑体" w:hint="eastAsia"/>
          <w:color w:val="000000"/>
          <w:sz w:val="21"/>
          <w:szCs w:val="21"/>
        </w:rPr>
        <w:t>2018年房估《理论与方法》</w:t>
      </w:r>
      <w:proofErr w:type="gramEnd"/>
      <w:r w:rsidRPr="00156362">
        <w:rPr>
          <w:rStyle w:val="a7"/>
          <w:rFonts w:ascii="微软雅黑" w:eastAsia="微软雅黑" w:hAnsi="微软雅黑" w:cs="黑体" w:hint="eastAsia"/>
          <w:color w:val="000000"/>
          <w:sz w:val="21"/>
          <w:szCs w:val="21"/>
        </w:rPr>
        <w:t>高频考点（第一章）</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1.专业估价与非专业估价的五大不同点（P2）</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（1）由专业机构和专业人员完成；</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（2）提供专业意见；</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（3）具有公信力；</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（4）实行有偿服务；</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（5）承担法律责任。</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2.</w:t>
      </w:r>
      <w:proofErr w:type="gramStart"/>
      <w:r w:rsidRPr="00156362">
        <w:rPr>
          <w:rFonts w:ascii="微软雅黑" w:eastAsia="微软雅黑" w:hAnsi="微软雅黑" w:cs="黑体" w:hint="eastAsia"/>
          <w:color w:val="000000"/>
          <w:sz w:val="21"/>
          <w:szCs w:val="21"/>
        </w:rPr>
        <w:t>鉴证</w:t>
      </w:r>
      <w:proofErr w:type="gramEnd"/>
      <w:r w:rsidRPr="00156362">
        <w:rPr>
          <w:rFonts w:ascii="微软雅黑" w:eastAsia="微软雅黑" w:hAnsi="微软雅黑" w:cs="黑体" w:hint="eastAsia"/>
          <w:color w:val="000000"/>
          <w:sz w:val="21"/>
          <w:szCs w:val="21"/>
        </w:rPr>
        <w:t>性估价（公证性估价、证据性估价）是向委托人提供，估价报告供委托人给第三方使用，起价值证明作用，如为证券发行、上市公司关联交易、房地产抵押贷款、房屋征收补偿、人民法院强制拍卖房地产提供参考依据的估价。</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3.专业房地产估价与非专业房地产估价的区别</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专业/非专业五大不同（重要考点）：</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①专业机构和专业人员——前者指具有一定数量的估价专业人员等条件，专门从事有关估价活动的单位。后者指具有估价专业知识及实践经验、专门从事有关估价活动的个人。</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lastRenderedPageBreak/>
        <w:t xml:space="preserve">　　②专业意见——专业估价不是用直觉或仅凭经验得出的，而是按照严谨的程序，根据有关资料数据，采用科学的方法，经过审慎的分析、测算和判断得出的，较客观合理。</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③公信力——专业机构和专业人员完成，估价结果较客观合理，所以具有证明效力，能使人们信服、认可或接受。</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④有偿服务——受他人委托，有偿服务，向委托人收取费用。</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⑤法律责任——责令限期改正、行政处罚、民事赔偿责任、刑事责任。</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4.房地产抵押的需要（掌握）</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1.房地产抵押：债务人或第三人（抵押人）不转移占有，将该房地产作为履债担保，债务人不履行到期债务或者发生当事人约定的实现抵押权的情形，债权人（抵押权人）有权以该房地产折价或者以拍卖、变卖所得价款优先受偿。</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2.房地产是良好的用于担保债务履行的财产。贷款金额小于抵押房地产的价值（出于安全的考虑）。</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5.估价方法</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比较法、收益法和成本法、假设开发法、</w:t>
      </w:r>
      <w:proofErr w:type="gramStart"/>
      <w:r w:rsidRPr="00156362">
        <w:rPr>
          <w:rFonts w:ascii="微软雅黑" w:eastAsia="微软雅黑" w:hAnsi="微软雅黑" w:cs="黑体" w:hint="eastAsia"/>
          <w:color w:val="000000"/>
          <w:sz w:val="21"/>
          <w:szCs w:val="21"/>
        </w:rPr>
        <w:t>路线价</w:t>
      </w:r>
      <w:proofErr w:type="gramEnd"/>
      <w:r w:rsidRPr="00156362">
        <w:rPr>
          <w:rFonts w:ascii="微软雅黑" w:eastAsia="微软雅黑" w:hAnsi="微软雅黑" w:cs="黑体" w:hint="eastAsia"/>
          <w:color w:val="000000"/>
          <w:sz w:val="21"/>
          <w:szCs w:val="21"/>
        </w:rPr>
        <w:t>法、基准地价修正法、标准价调整法、多元回归分析法、长期趋势法等。</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lastRenderedPageBreak/>
        <w:t xml:space="preserve">　　每种估价方法都有其适用对象和条件。同时运用，相互验证，但不应相互替代。不同方法可以互补，如特殊厂房不适用比较法，但适用成本法；待开发土地不适用成本法，但适用假设开发法和比较法；在建工程不适用比较法，但适用成本法和假设开发法。</w:t>
      </w:r>
    </w:p>
    <w:p w:rsidR="004D3A0D" w:rsidRPr="00156362" w:rsidRDefault="004446B2" w:rsidP="007D35C8">
      <w:pPr>
        <w:pStyle w:val="a6"/>
        <w:widowControl/>
        <w:spacing w:before="150" w:beforeAutospacing="0" w:after="150" w:afterAutospacing="0" w:line="360" w:lineRule="auto"/>
        <w:ind w:firstLine="420"/>
        <w:jc w:val="center"/>
        <w:rPr>
          <w:rFonts w:ascii="微软雅黑" w:eastAsia="微软雅黑" w:hAnsi="微软雅黑" w:cs="黑体"/>
          <w:color w:val="000000"/>
          <w:sz w:val="21"/>
          <w:szCs w:val="21"/>
        </w:rPr>
      </w:pPr>
      <w:proofErr w:type="gramStart"/>
      <w:r w:rsidRPr="00156362">
        <w:rPr>
          <w:rStyle w:val="a7"/>
          <w:rFonts w:ascii="微软雅黑" w:eastAsia="微软雅黑" w:hAnsi="微软雅黑" w:cs="黑体" w:hint="eastAsia"/>
          <w:color w:val="000000"/>
          <w:sz w:val="21"/>
          <w:szCs w:val="21"/>
        </w:rPr>
        <w:t>2018年房估《理论与方法》</w:t>
      </w:r>
      <w:proofErr w:type="gramEnd"/>
      <w:r w:rsidRPr="00156362">
        <w:rPr>
          <w:rStyle w:val="a7"/>
          <w:rFonts w:ascii="微软雅黑" w:eastAsia="微软雅黑" w:hAnsi="微软雅黑" w:cs="黑体" w:hint="eastAsia"/>
          <w:color w:val="000000"/>
          <w:sz w:val="21"/>
          <w:szCs w:val="21"/>
        </w:rPr>
        <w:t>高频考点（第二章）</w:t>
      </w:r>
    </w:p>
    <w:p w:rsidR="004D3A0D" w:rsidRPr="00156362" w:rsidRDefault="004446B2" w:rsidP="007D35C8">
      <w:pPr>
        <w:pStyle w:val="a6"/>
        <w:widowControl/>
        <w:numPr>
          <w:ilvl w:val="0"/>
          <w:numId w:val="1"/>
        </w:numPr>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房地产权利的分类（P53）</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noProof/>
          <w:color w:val="000000"/>
          <w:sz w:val="21"/>
          <w:szCs w:val="21"/>
        </w:rPr>
        <w:drawing>
          <wp:inline distT="0" distB="0" distL="114300" distR="114300">
            <wp:extent cx="4286250" cy="2647950"/>
            <wp:effectExtent l="0" t="0" r="0" b="0"/>
            <wp:docPr id="8"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256"/>
                    <pic:cNvPicPr>
                      <a:picLocks noChangeAspect="1"/>
                    </pic:cNvPicPr>
                  </pic:nvPicPr>
                  <pic:blipFill>
                    <a:blip r:embed="rId8" cstate="print"/>
                    <a:stretch>
                      <a:fillRect/>
                    </a:stretch>
                  </pic:blipFill>
                  <pic:spPr>
                    <a:xfrm>
                      <a:off x="0" y="0"/>
                      <a:ext cx="4286250" cy="2647950"/>
                    </a:xfrm>
                    <a:prstGeom prst="rect">
                      <a:avLst/>
                    </a:prstGeom>
                    <a:noFill/>
                    <a:ln w="9525">
                      <a:noFill/>
                    </a:ln>
                  </pic:spPr>
                </pic:pic>
              </a:graphicData>
            </a:graphic>
          </wp:inline>
        </w:drawing>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2.房地产实物、权益和区位的含义</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房地产实物的含义（考点在相关知识部分）</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房地产中看得见、摸得着的部分，例如，土地的形状、地形、地势、地质、土壤、平整程度等，建筑物的外观、建筑结构、设施设备、装饰装修等。认识房地产实物，需要测绘、建筑、设备等专业知识。</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lastRenderedPageBreak/>
        <w:t>房地产实物是有形的实体、该实体的质量、该实体组合完成的功能。以一幢房屋为例，其有形的实体，如结构，是砖木的、砖混的、钢筋混凝土结构或者钢结构的；实体的质量，如优良工程，合格工程；组合完成的功能，如空间布局如何，户型如何。</w:t>
      </w:r>
    </w:p>
    <w:p w:rsidR="004D3A0D" w:rsidRPr="00156362" w:rsidRDefault="004446B2" w:rsidP="007D35C8">
      <w:pPr>
        <w:pStyle w:val="a6"/>
        <w:widowControl/>
        <w:numPr>
          <w:ilvl w:val="0"/>
          <w:numId w:val="1"/>
        </w:numPr>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物权与债权</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①债权是权利人请求特定义务人为或者不为一定行为的权利，债权的权利人不能要求与其债权债务关系无关的人为或者不为一定行为。“相对权”、“对人权”。</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②物权是权利人依法对特定的物享有直接支配和排他的权利，物权的义务人是物权的权利人以外的任何其他人。“绝对权”、“对世权”。</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③“物权优先于债权”、“时间优先”。</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④所有权是自物权，其他的是他物权。他物权中，抵押权是担保物权，其他的他物权是用益物权。</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4.寿命长久特性也称为耐久性，对土地而言，也称为不可毁灭性、永续性。建设用地使用权期间届满，除住宅建设用地使用权自动续期外，非住宅建设用地使用权人未申请续期或者虽然申请续期但依法未获批准的，建设用地使用权由国家无偿收回。（P62）</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5.按开发程度划分的种类（5类）（熟悉）</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（1）生地——无基础设施；</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（2）毛地——有基础设施＋未拆迁；</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lastRenderedPageBreak/>
        <w:t>（3）熟地——完善的基础设施＋场地平整，可直接建造建筑物；有“三通一平”、“五通一平”和“七通一平”三种情况。</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（4）在建工程——已开工但尚未建成，不具备使用条件的项目（包括缓建工程）。缓建工程也是在建工程。</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判定是否为在建工程，以是否完成工程竣工验收为标志。</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（5）现房——已建造完成＋可直接使用。</w:t>
      </w:r>
    </w:p>
    <w:p w:rsidR="004D3A0D" w:rsidRPr="00156362" w:rsidRDefault="004D3A0D" w:rsidP="007D35C8">
      <w:pPr>
        <w:spacing w:line="360" w:lineRule="auto"/>
        <w:rPr>
          <w:rFonts w:ascii="微软雅黑" w:eastAsia="微软雅黑" w:hAnsi="微软雅黑"/>
          <w:szCs w:val="21"/>
        </w:rPr>
      </w:pPr>
    </w:p>
    <w:p w:rsidR="004D3A0D" w:rsidRPr="00156362" w:rsidRDefault="004446B2" w:rsidP="007D35C8">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156362">
        <w:rPr>
          <w:rStyle w:val="a7"/>
          <w:rFonts w:ascii="微软雅黑" w:eastAsia="微软雅黑" w:hAnsi="微软雅黑" w:cs="黑体" w:hint="eastAsia"/>
          <w:color w:val="000000"/>
          <w:sz w:val="21"/>
          <w:szCs w:val="21"/>
        </w:rPr>
        <w:t>2018年房估《理论与方法》</w:t>
      </w:r>
      <w:proofErr w:type="gramEnd"/>
      <w:r w:rsidRPr="00156362">
        <w:rPr>
          <w:rStyle w:val="a7"/>
          <w:rFonts w:ascii="微软雅黑" w:eastAsia="微软雅黑" w:hAnsi="微软雅黑" w:cs="黑体" w:hint="eastAsia"/>
          <w:color w:val="000000"/>
          <w:sz w:val="21"/>
          <w:szCs w:val="21"/>
        </w:rPr>
        <w:t>高频考点（第三章）</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1.成交价格（P87～88）</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（1）</w:t>
      </w:r>
      <w:proofErr w:type="gramStart"/>
      <w:r w:rsidRPr="00156362">
        <w:rPr>
          <w:rFonts w:ascii="微软雅黑" w:eastAsia="微软雅黑" w:hAnsi="微软雅黑" w:cs="黑体" w:hint="eastAsia"/>
          <w:color w:val="000000"/>
          <w:sz w:val="21"/>
          <w:szCs w:val="21"/>
        </w:rPr>
        <w:t>当最高</w:t>
      </w:r>
      <w:proofErr w:type="gramEnd"/>
      <w:r w:rsidRPr="00156362">
        <w:rPr>
          <w:rFonts w:ascii="微软雅黑" w:eastAsia="微软雅黑" w:hAnsi="微软雅黑" w:cs="黑体" w:hint="eastAsia"/>
          <w:color w:val="000000"/>
          <w:sz w:val="21"/>
          <w:szCs w:val="21"/>
        </w:rPr>
        <w:t>买价高于或等于最低卖价，才有成交可能。三者关系：最高买价≥成交价≥最低卖价。最高买价与最低卖价之间的区间构成了成交价格的可能区间。</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（2）实际成交价格落在区间的某个位置取决于：买卖双方相对的议价能力和技巧，特别是该种房地产是处于买方市场还是卖方市场。</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（3）正常成交价格的形成条件：公开市场；交易对象本身具备市场性；众多的买者和卖者；买者和卖者都不受任何压力，完全出于自愿；自私且理性的经济行为（</w:t>
      </w:r>
      <w:proofErr w:type="gramStart"/>
      <w:r w:rsidRPr="00156362">
        <w:rPr>
          <w:rFonts w:ascii="微软雅黑" w:eastAsia="微软雅黑" w:hAnsi="微软雅黑" w:cs="黑体" w:hint="eastAsia"/>
          <w:color w:val="000000"/>
          <w:sz w:val="21"/>
          <w:szCs w:val="21"/>
        </w:rPr>
        <w:t>经济人</w:t>
      </w:r>
      <w:proofErr w:type="gramEnd"/>
      <w:r w:rsidRPr="00156362">
        <w:rPr>
          <w:rFonts w:ascii="微软雅黑" w:eastAsia="微软雅黑" w:hAnsi="微软雅黑" w:cs="黑体" w:hint="eastAsia"/>
          <w:color w:val="000000"/>
          <w:sz w:val="21"/>
          <w:szCs w:val="21"/>
        </w:rPr>
        <w:t>假定）；买者和卖者都具有完全信息；适当的期间完成交易。</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2.房地产估价本质上是评估房地产的价值。</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lastRenderedPageBreak/>
        <w:t xml:space="preserve">　　1.价格和价值</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（1）房地产价格是和平地取得他人的房地产所必须付出的代价——货币或实物、无形资产和其他经济利益。</w:t>
      </w:r>
    </w:p>
    <w:p w:rsidR="004D3A0D" w:rsidRPr="00156362" w:rsidRDefault="004446B2" w:rsidP="007D35C8">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（2）房地产价格的形成条件（三条件）：使用价值，稀缺性，有效需求（意愿＋购买能力）。</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注意区分：需要的概念</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3.抵押价值</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抵押价值是在抵押期间的各个时点，特别是在债务人不履行到期债务或者发生当事人约定的实现抵押权的情形，将抵押房地产拍卖、变卖最可能所得的价款扣除法定优先受偿款后的余额。抵押价值任何时候都要大于</w:t>
      </w:r>
      <w:proofErr w:type="gramStart"/>
      <w:r w:rsidRPr="00156362">
        <w:rPr>
          <w:rFonts w:ascii="微软雅黑" w:eastAsia="微软雅黑" w:hAnsi="微软雅黑" w:cs="黑体" w:hint="eastAsia"/>
          <w:color w:val="000000"/>
          <w:sz w:val="21"/>
          <w:szCs w:val="21"/>
        </w:rPr>
        <w:t>未偿</w:t>
      </w:r>
      <w:proofErr w:type="gramEnd"/>
      <w:r w:rsidRPr="00156362">
        <w:rPr>
          <w:rFonts w:ascii="微软雅黑" w:eastAsia="微软雅黑" w:hAnsi="微软雅黑" w:cs="黑体" w:hint="eastAsia"/>
          <w:color w:val="000000"/>
          <w:sz w:val="21"/>
          <w:szCs w:val="21"/>
        </w:rPr>
        <w:t>还的贷款余额。</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法定优先受偿款，是实现抵押权时，已存在的依法优先于本次抵押贷款受偿的款额。包括3项：已抵押担保的债权数额、发包人拖欠承包人的建设工程价款、其他法定优先受偿款（已经存在），不包括为实现抵押权而发生的诉讼费用、估价费用、拍卖费用以及增值税及附加等费用和税金（还未发生）。</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4.房地产价格与一般物品价格的不同之处（P110～112）</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（1）与区位密切相关；</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（2）实质上是权益的价格；</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lastRenderedPageBreak/>
        <w:t xml:space="preserve">　　（3）同时有买卖价格和租赁价格；</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（4）易受交易者的个别情况影响；</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（5）形成的时间通常较长；</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（6）包含的内容复杂多样。</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5.完全产权价值、无租约限制价值、出租人权益价值和承租人权益价值</w:t>
      </w:r>
    </w:p>
    <w:p w:rsidR="004D3A0D" w:rsidRPr="00156362" w:rsidRDefault="004446B2" w:rsidP="007D35C8">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（1）无租约限制价值，不考虑租赁因素影响情况下的价值。是完全产权价值，是房屋所有权和出让建设用地使用权在不受任何其他房地产权利等限制情况下的价值。</w:t>
      </w:r>
    </w:p>
    <w:p w:rsidR="004D3A0D" w:rsidRPr="00156362" w:rsidRDefault="004446B2" w:rsidP="007D35C8">
      <w:pPr>
        <w:pStyle w:val="a6"/>
        <w:widowControl/>
        <w:spacing w:before="150" w:beforeAutospacing="0" w:after="150" w:afterAutospacing="0" w:line="360" w:lineRule="auto"/>
        <w:ind w:firstLine="405"/>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2）出租人权益价值（有租约限制价值、带租约的价值），是指出租人对自己的已出租房地产依法享有的权益的价值。含：1）已出租部分租赁期内合同租金收益现值；2）未出租部分和已出租部分租赁期间届满市场租金收益现值。</w:t>
      </w:r>
    </w:p>
    <w:p w:rsidR="007D35C8" w:rsidRPr="00156362" w:rsidRDefault="007D35C8" w:rsidP="007D35C8">
      <w:pPr>
        <w:pStyle w:val="a6"/>
        <w:widowControl/>
        <w:spacing w:before="150" w:beforeAutospacing="0" w:after="150" w:afterAutospacing="0" w:line="360" w:lineRule="auto"/>
        <w:ind w:firstLine="405"/>
        <w:rPr>
          <w:rFonts w:ascii="微软雅黑" w:eastAsia="微软雅黑" w:hAnsi="微软雅黑" w:cs="黑体"/>
          <w:color w:val="000000"/>
          <w:sz w:val="21"/>
          <w:szCs w:val="21"/>
        </w:rPr>
      </w:pPr>
    </w:p>
    <w:p w:rsidR="004D3A0D" w:rsidRPr="00156362" w:rsidRDefault="004446B2" w:rsidP="007D35C8">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156362">
        <w:rPr>
          <w:rStyle w:val="a7"/>
          <w:rFonts w:ascii="微软雅黑" w:eastAsia="微软雅黑" w:hAnsi="微软雅黑" w:cs="黑体" w:hint="eastAsia"/>
          <w:color w:val="000000"/>
          <w:sz w:val="21"/>
          <w:szCs w:val="21"/>
        </w:rPr>
        <w:t>2018年房估《理论与方法》</w:t>
      </w:r>
      <w:proofErr w:type="gramEnd"/>
      <w:r w:rsidRPr="00156362">
        <w:rPr>
          <w:rStyle w:val="a7"/>
          <w:rFonts w:ascii="微软雅黑" w:eastAsia="微软雅黑" w:hAnsi="微软雅黑" w:cs="黑体" w:hint="eastAsia"/>
          <w:color w:val="000000"/>
          <w:sz w:val="21"/>
          <w:szCs w:val="21"/>
        </w:rPr>
        <w:t>高频考点（第四章）</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1.主要原则：独立客观公正原则；合法原则；价值时点原则；替代原则；最高</w:t>
      </w:r>
      <w:proofErr w:type="gramStart"/>
      <w:r w:rsidRPr="00156362">
        <w:rPr>
          <w:rFonts w:ascii="微软雅黑" w:eastAsia="微软雅黑" w:hAnsi="微软雅黑" w:cs="黑体" w:hint="eastAsia"/>
          <w:color w:val="000000"/>
          <w:sz w:val="21"/>
          <w:szCs w:val="21"/>
        </w:rPr>
        <w:t>最佳利用</w:t>
      </w:r>
      <w:proofErr w:type="gramEnd"/>
      <w:r w:rsidRPr="00156362">
        <w:rPr>
          <w:rFonts w:ascii="微软雅黑" w:eastAsia="微软雅黑" w:hAnsi="微软雅黑" w:cs="黑体" w:hint="eastAsia"/>
          <w:color w:val="000000"/>
          <w:sz w:val="21"/>
          <w:szCs w:val="21"/>
        </w:rPr>
        <w:t>原则；谨慎原则；一致性原则；一贯性原则。（P153）</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2.合法原则在房屋征收估价中的运用在房屋征收评估中，被征收房屋的价值与被征收房屋的性质（如是合法建筑还是违法建筑，是永久建筑还是临时建筑，是未超过批准期限的临时建筑还是超过批准期限的临时建筑）、用途（如是居住用途还是商业用途）和面积（计不</w:t>
      </w:r>
      <w:r w:rsidRPr="00156362">
        <w:rPr>
          <w:rFonts w:ascii="微软雅黑" w:eastAsia="微软雅黑" w:hAnsi="微软雅黑" w:cs="黑体" w:hint="eastAsia"/>
          <w:color w:val="000000"/>
          <w:sz w:val="21"/>
          <w:szCs w:val="21"/>
        </w:rPr>
        <w:lastRenderedPageBreak/>
        <w:t>计算面积，计多少面积）等密切相关。例如，《国有土地上房屋征收与补偿条例》第二十四条规定：“对认定为合法建筑和未超期的临时建筑的，应当给予补偿；对认定为违法建筑和超期的临时建筑的，不予补偿。”</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违法建筑--</w:t>
      </w:r>
      <w:proofErr w:type="spellStart"/>
      <w:r w:rsidRPr="00156362">
        <w:rPr>
          <w:rFonts w:ascii="微软雅黑" w:eastAsia="微软雅黑" w:hAnsi="微软雅黑" w:cs="黑体" w:hint="eastAsia"/>
          <w:color w:val="000000"/>
          <w:sz w:val="21"/>
          <w:szCs w:val="21"/>
        </w:rPr>
        <w:t>fxgr</w:t>
      </w:r>
      <w:proofErr w:type="spellEnd"/>
      <w:r w:rsidRPr="00156362">
        <w:rPr>
          <w:rFonts w:ascii="微软雅黑" w:eastAsia="微软雅黑" w:hAnsi="微软雅黑" w:cs="黑体" w:hint="eastAsia"/>
          <w:color w:val="000000"/>
          <w:sz w:val="21"/>
          <w:szCs w:val="21"/>
        </w:rPr>
        <w:t>--超期临时建筑，就不应予以评估，或者评估价值应为零。</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被征收房屋价值评估必须明确被征收房屋的性质、用途和面积。房屋征收部门应当对房屋征收范围内房屋的权属、区位、用途、建筑面积等情况组织调查登记，被征收人应当予以配合。</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市、县级人民政府</w:t>
      </w:r>
      <w:proofErr w:type="gramStart"/>
      <w:r w:rsidRPr="00156362">
        <w:rPr>
          <w:rFonts w:ascii="微软雅黑" w:eastAsia="微软雅黑" w:hAnsi="微软雅黑" w:cs="黑体" w:hint="eastAsia"/>
          <w:color w:val="000000"/>
          <w:sz w:val="21"/>
          <w:szCs w:val="21"/>
        </w:rPr>
        <w:t>作出</w:t>
      </w:r>
      <w:proofErr w:type="gramEnd"/>
      <w:r w:rsidRPr="00156362">
        <w:rPr>
          <w:rFonts w:ascii="微软雅黑" w:eastAsia="微软雅黑" w:hAnsi="微软雅黑" w:cs="黑体" w:hint="eastAsia"/>
          <w:color w:val="000000"/>
          <w:sz w:val="21"/>
          <w:szCs w:val="21"/>
        </w:rPr>
        <w:t>房屋征收决定前，应当组织有关部门依法对征收范围内未经登记的建筑进行调查、认定和处理。</w:t>
      </w:r>
    </w:p>
    <w:p w:rsidR="004D3A0D" w:rsidRPr="00156362" w:rsidRDefault="004446B2" w:rsidP="007D35C8">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房屋征收评估前，房屋征收部门应当组织有关单位对被征收房屋情况进行调查，明确评估对象。评估对象应当全面、客观，不得遗漏、虚构。房屋征收部门应当向受托的房地产价格评估机构提供征收范围内房屋情况，包括已登记的房屋情况和未经登记建筑的认定、处理结果情况。</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3.一贯性原则是指为同一估价目的，在不同时间对同一房地产再次或多次估价时，应采用相同的估价方法或对待方式进行估价。房地产投资信托基金物业价值评估、为财务报告服务的估价都应遵循一贯性原则。（P172）</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4.三大经济学原理</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①收益递增递减原理</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lastRenderedPageBreak/>
        <w:t xml:space="preserve">　　第一种投入产出关系——收益递减规律，也称为报酬递减规律、边际收益递减原理：假定仅有一种投入量可变，其他投入量保持不变，则随着该种可变投入量的增加，在开始时，产出量的增加有可能是递增的，但当这种可变投入量继续增加达到某一点以后，产出量的增加会越来越小，即会出现递减现象。如土地上施化肥。</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第二种投入产出关系</w:t>
      </w:r>
      <w:proofErr w:type="gramStart"/>
      <w:r w:rsidRPr="00156362">
        <w:rPr>
          <w:rFonts w:ascii="微软雅黑" w:eastAsia="微软雅黑" w:hAnsi="微软雅黑" w:cs="黑体" w:hint="eastAsia"/>
          <w:color w:val="000000"/>
          <w:sz w:val="21"/>
          <w:szCs w:val="21"/>
        </w:rPr>
        <w:t>—规模</w:t>
      </w:r>
      <w:proofErr w:type="gramEnd"/>
      <w:r w:rsidRPr="00156362">
        <w:rPr>
          <w:rFonts w:ascii="微软雅黑" w:eastAsia="微软雅黑" w:hAnsi="微软雅黑" w:cs="黑体" w:hint="eastAsia"/>
          <w:color w:val="000000"/>
          <w:sz w:val="21"/>
          <w:szCs w:val="21"/>
        </w:rPr>
        <w:t>收益或规模报酬规律：假定以相同的比例来增加所有的投入量，产出量的变化有三种可能：</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（1）规模收益不变——产出量的增加比例等于投入量的增加比例。</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（2）规模收益递增——产出量的增加比例大于投入量的增加比例。</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（3）规模收益递减——产出量的增加比例小于投入量的增加比例。在扩大规模时，先后经过规模收益递增阶段，规模收益不变阶段，规模收益递减阶段。</w:t>
      </w:r>
    </w:p>
    <w:p w:rsidR="004D3A0D" w:rsidRPr="00156362" w:rsidRDefault="004D3A0D" w:rsidP="007D35C8">
      <w:pPr>
        <w:spacing w:line="360" w:lineRule="auto"/>
        <w:rPr>
          <w:rFonts w:ascii="微软雅黑" w:eastAsia="微软雅黑" w:hAnsi="微软雅黑" w:cs="黑体"/>
          <w:szCs w:val="21"/>
        </w:rPr>
      </w:pPr>
    </w:p>
    <w:p w:rsidR="007D35C8" w:rsidRPr="00156362" w:rsidRDefault="007D35C8" w:rsidP="007D35C8">
      <w:pPr>
        <w:spacing w:line="360" w:lineRule="auto"/>
        <w:rPr>
          <w:rFonts w:ascii="微软雅黑" w:eastAsia="微软雅黑" w:hAnsi="微软雅黑" w:cs="黑体"/>
          <w:szCs w:val="21"/>
        </w:rPr>
      </w:pPr>
    </w:p>
    <w:p w:rsidR="004D3A0D" w:rsidRPr="00156362" w:rsidRDefault="004446B2" w:rsidP="007D35C8">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156362">
        <w:rPr>
          <w:rStyle w:val="a7"/>
          <w:rFonts w:ascii="微软雅黑" w:eastAsia="微软雅黑" w:hAnsi="微软雅黑" w:cs="黑体" w:hint="eastAsia"/>
          <w:color w:val="000000"/>
          <w:sz w:val="21"/>
          <w:szCs w:val="21"/>
        </w:rPr>
        <w:t>2018年房估《理论与方法》</w:t>
      </w:r>
      <w:proofErr w:type="gramEnd"/>
      <w:r w:rsidRPr="00156362">
        <w:rPr>
          <w:rStyle w:val="a7"/>
          <w:rFonts w:ascii="微软雅黑" w:eastAsia="微软雅黑" w:hAnsi="微软雅黑" w:cs="黑体" w:hint="eastAsia"/>
          <w:color w:val="000000"/>
          <w:sz w:val="21"/>
          <w:szCs w:val="21"/>
        </w:rPr>
        <w:t>高频考点（第五章）</w:t>
      </w:r>
    </w:p>
    <w:p w:rsidR="004D3A0D" w:rsidRPr="00156362" w:rsidRDefault="004446B2" w:rsidP="007D35C8">
      <w:pPr>
        <w:pStyle w:val="a6"/>
        <w:widowControl/>
        <w:numPr>
          <w:ilvl w:val="0"/>
          <w:numId w:val="2"/>
        </w:numPr>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根据与估价对象相似的房地产的成交价格，求取估价对象价值或价格。</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类似房地产，是指与估价对象的区位、用途、权利性质、档次、规模、建筑结构、新旧程度等相同或相近的房地产。</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lastRenderedPageBreak/>
        <w:t xml:space="preserve">　　可比实例是符合一定条件的类似房地产的交易实例，具体是指交易实例中，交易方式适合估价目的、成交日期接近价值时点、成交价格为正常价格或可修正为正常价格的估价对象的类似房地产等财产或相关权益。</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比较法的本质是以房地产的市场成交价格为导向（简称市场导向）来求取房地产的价值或价格。由于该方法是利用实际发生、经过市场“检验”的与估价对象相似的房地产的成交价格来求取估价对象的价值或价格，直接、直观、有说服力，测算结果易于被理解、认可或接受。</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2.统一财产范围（P184～185）</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（1）含有非房地产成份，统一到纯粹的房地产范围。</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可比实例和估价对象相比，</w:t>
      </w:r>
      <w:proofErr w:type="gramStart"/>
      <w:r w:rsidRPr="00156362">
        <w:rPr>
          <w:rFonts w:ascii="微软雅黑" w:eastAsia="微软雅黑" w:hAnsi="微软雅黑" w:cs="黑体" w:hint="eastAsia"/>
          <w:color w:val="000000"/>
          <w:sz w:val="21"/>
          <w:szCs w:val="21"/>
        </w:rPr>
        <w:t>多减少</w:t>
      </w:r>
      <w:proofErr w:type="gramEnd"/>
      <w:r w:rsidRPr="00156362">
        <w:rPr>
          <w:rFonts w:ascii="微软雅黑" w:eastAsia="微软雅黑" w:hAnsi="微软雅黑" w:cs="黑体" w:hint="eastAsia"/>
          <w:color w:val="000000"/>
          <w:sz w:val="21"/>
          <w:szCs w:val="21"/>
        </w:rPr>
        <w:t>加——剥离；估价对象和可比实例相比，多加少减——还原。</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（2）带有债权债务，统一到不带债权债务。</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可比实例带有债权债务的：不带债权债务的房地产价格＝带有债权债务的房地产价格—债权＋债务估价对象带有债权债务的： 估价对象房地产价格＝不带债权债务的估价对象房地产价格＋债权—债务</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3.造成成交价格偏离正常价格的因素</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（1）利害关系人之间的交易；</w:t>
      </w:r>
    </w:p>
    <w:p w:rsidR="004D3A0D" w:rsidRPr="00156362" w:rsidRDefault="004446B2" w:rsidP="007D35C8">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lastRenderedPageBreak/>
        <w:t>（2）对交易对象或市场行情缺乏了解的交易；</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（3）被迫出售或被迫购买的交易；</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（4）人为哄抬价格的交易；</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（5）对交易对象有特殊偏好的交易；</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（6）相邻房地产合并的交易（规模经济，外部效应内部化）；</w:t>
      </w:r>
    </w:p>
    <w:p w:rsidR="004D3A0D" w:rsidRPr="00156362" w:rsidRDefault="004446B2" w:rsidP="007D35C8">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（7）受迷信影响的交易。</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上述特殊交易情况下的交易实例不宜选为可比实例，但当合适的交易实例少于3个时，在掌握特殊交易情况且能量化其对成交价格影响的情况下，可将特殊交易情况下的交易实例选为可比实例，并对其进行交易情况修正。</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4.根据《房地产估价规范》，进行交易情况修正、市场状况调整、区位状况调整、实物状况调整、权益状况调整时，分别对可比实例成交价格的修正或调整幅度不宜超过20%，共同对可比实例成交价格的修正和调整幅度不宜超过30%；经修正和调整后的各个比较价值中，</w:t>
      </w:r>
      <w:proofErr w:type="gramStart"/>
      <w:r w:rsidRPr="00156362">
        <w:rPr>
          <w:rFonts w:ascii="微软雅黑" w:eastAsia="微软雅黑" w:hAnsi="微软雅黑" w:cs="黑体" w:hint="eastAsia"/>
          <w:color w:val="000000"/>
          <w:sz w:val="21"/>
          <w:szCs w:val="21"/>
        </w:rPr>
        <w:t>最</w:t>
      </w:r>
      <w:proofErr w:type="gramEnd"/>
      <w:r w:rsidRPr="00156362">
        <w:rPr>
          <w:rFonts w:ascii="微软雅黑" w:eastAsia="微软雅黑" w:hAnsi="微软雅黑" w:cs="黑体" w:hint="eastAsia"/>
          <w:color w:val="000000"/>
          <w:sz w:val="21"/>
          <w:szCs w:val="21"/>
        </w:rPr>
        <w:t>高价与最低价的比值不宜大于1.2.</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5.房地产状况调整的方法</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房地产状况调整的方法有：</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①直接比较调整、间接比较调整；</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②总价调整、单价调整；</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lastRenderedPageBreak/>
        <w:t xml:space="preserve">　　③金额调整、百分比调整；</w:t>
      </w:r>
    </w:p>
    <w:p w:rsidR="004D3A0D" w:rsidRPr="00156362" w:rsidRDefault="004446B2" w:rsidP="007D35C8">
      <w:pPr>
        <w:pStyle w:val="a6"/>
        <w:widowControl/>
        <w:spacing w:before="150" w:beforeAutospacing="0" w:after="150" w:afterAutospacing="0" w:line="360" w:lineRule="auto"/>
        <w:ind w:firstLine="405"/>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④加法调整、乘法调整。</w:t>
      </w:r>
    </w:p>
    <w:p w:rsidR="007D35C8" w:rsidRPr="00156362" w:rsidRDefault="007D35C8" w:rsidP="007D35C8">
      <w:pPr>
        <w:pStyle w:val="a6"/>
        <w:widowControl/>
        <w:spacing w:before="150" w:beforeAutospacing="0" w:after="150" w:afterAutospacing="0" w:line="360" w:lineRule="auto"/>
        <w:ind w:firstLine="405"/>
        <w:rPr>
          <w:rFonts w:ascii="微软雅黑" w:eastAsia="微软雅黑" w:hAnsi="微软雅黑" w:cs="黑体"/>
          <w:color w:val="000000"/>
          <w:sz w:val="21"/>
          <w:szCs w:val="21"/>
        </w:rPr>
      </w:pPr>
    </w:p>
    <w:p w:rsidR="007D35C8" w:rsidRPr="00156362" w:rsidRDefault="007D35C8" w:rsidP="007D35C8">
      <w:pPr>
        <w:pStyle w:val="a6"/>
        <w:widowControl/>
        <w:spacing w:before="150" w:beforeAutospacing="0" w:after="150" w:afterAutospacing="0" w:line="360" w:lineRule="auto"/>
        <w:ind w:firstLine="405"/>
        <w:rPr>
          <w:rFonts w:ascii="微软雅黑" w:eastAsia="微软雅黑" w:hAnsi="微软雅黑" w:cs="黑体"/>
          <w:color w:val="000000"/>
          <w:sz w:val="21"/>
          <w:szCs w:val="21"/>
        </w:rPr>
      </w:pPr>
    </w:p>
    <w:p w:rsidR="007D35C8" w:rsidRPr="00156362" w:rsidRDefault="007D35C8" w:rsidP="007D35C8">
      <w:pPr>
        <w:pStyle w:val="a6"/>
        <w:widowControl/>
        <w:spacing w:before="150" w:beforeAutospacing="0" w:after="150" w:afterAutospacing="0" w:line="360" w:lineRule="auto"/>
        <w:ind w:firstLine="405"/>
        <w:rPr>
          <w:rFonts w:ascii="微软雅黑" w:eastAsia="微软雅黑" w:hAnsi="微软雅黑" w:cs="黑体"/>
          <w:color w:val="000000"/>
          <w:sz w:val="21"/>
          <w:szCs w:val="21"/>
        </w:rPr>
      </w:pPr>
    </w:p>
    <w:p w:rsidR="004D3A0D" w:rsidRPr="00156362" w:rsidRDefault="004446B2" w:rsidP="007D35C8">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156362">
        <w:rPr>
          <w:rStyle w:val="a7"/>
          <w:rFonts w:ascii="微软雅黑" w:eastAsia="微软雅黑" w:hAnsi="微软雅黑" w:cs="黑体" w:hint="eastAsia"/>
          <w:color w:val="000000"/>
          <w:sz w:val="21"/>
          <w:szCs w:val="21"/>
        </w:rPr>
        <w:t>2018年房估《理论与方法》</w:t>
      </w:r>
      <w:proofErr w:type="gramEnd"/>
      <w:r w:rsidRPr="00156362">
        <w:rPr>
          <w:rStyle w:val="a7"/>
          <w:rFonts w:ascii="微软雅黑" w:eastAsia="微软雅黑" w:hAnsi="微软雅黑" w:cs="黑体" w:hint="eastAsia"/>
          <w:color w:val="000000"/>
          <w:sz w:val="21"/>
          <w:szCs w:val="21"/>
        </w:rPr>
        <w:t>高频考点（第六章）</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1.收益期是预计在正常市场和运营状况下估价对象未来可获取净收益的时间，即</w:t>
      </w:r>
      <w:proofErr w:type="gramStart"/>
      <w:r w:rsidRPr="00156362">
        <w:rPr>
          <w:rFonts w:ascii="微软雅黑" w:eastAsia="微软雅黑" w:hAnsi="微软雅黑" w:cs="黑体" w:hint="eastAsia"/>
          <w:color w:val="000000"/>
          <w:sz w:val="21"/>
          <w:szCs w:val="21"/>
        </w:rPr>
        <w:t>自价值</w:t>
      </w:r>
      <w:proofErr w:type="gramEnd"/>
      <w:r w:rsidRPr="00156362">
        <w:rPr>
          <w:rFonts w:ascii="微软雅黑" w:eastAsia="微软雅黑" w:hAnsi="微软雅黑" w:cs="黑体" w:hint="eastAsia"/>
          <w:color w:val="000000"/>
          <w:sz w:val="21"/>
          <w:szCs w:val="21"/>
        </w:rPr>
        <w:t>时点起至估价对象未来不能获取净收益时止的时间。（P238）</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2.土地使用权剩余期限是</w:t>
      </w:r>
      <w:proofErr w:type="gramStart"/>
      <w:r w:rsidRPr="00156362">
        <w:rPr>
          <w:rFonts w:ascii="微软雅黑" w:eastAsia="微软雅黑" w:hAnsi="微软雅黑" w:cs="黑体" w:hint="eastAsia"/>
          <w:color w:val="000000"/>
          <w:sz w:val="21"/>
          <w:szCs w:val="21"/>
        </w:rPr>
        <w:t>自价值</w:t>
      </w:r>
      <w:proofErr w:type="gramEnd"/>
      <w:r w:rsidRPr="00156362">
        <w:rPr>
          <w:rFonts w:ascii="微软雅黑" w:eastAsia="微软雅黑" w:hAnsi="微软雅黑" w:cs="黑体" w:hint="eastAsia"/>
          <w:color w:val="000000"/>
          <w:sz w:val="21"/>
          <w:szCs w:val="21"/>
        </w:rPr>
        <w:t>时点起至土地使用权使用期限结束时止的时间。（P238）</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3.收益法估价的操作步骤（熟悉）（五步）</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①选择具体估价方法（报酬资本化法or直接资本化法）；</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②测算收益期或持有期；</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③测算未来收益；</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④确定报酬率或资本化率、收益乘数；</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⑤计算收益价值。</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lastRenderedPageBreak/>
        <w:t xml:space="preserve">　　4.地租的含义（熟悉）</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狭义，指利用土地所获得的超额报酬。</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广义，指超额的工资、利息、利润及利用任何生产要素所获得的超额报酬。是土地生产要素的报酬。扣除了土地之外的其他生产要素的报酬的剩余。</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5.地租的测算（熟悉）</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（1）计算公式：地租＝农产品市场价格－农产品销售税费－农产品生产成本－农产品运输成本－土地上投入资本的利息－农业经营者的利润。</w:t>
      </w:r>
    </w:p>
    <w:p w:rsidR="004D3A0D" w:rsidRPr="00156362" w:rsidRDefault="004446B2" w:rsidP="007D35C8">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说明：</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公式中的土地上投入资本的利息不包括对应土地价值的资本的利息，如过去购置土地的费用，而是土地以外的投入资本的利息。</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（2）土地是在最佳用途下利用的——竞标地租理论。</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（3）土地是在最佳集约度下利用的——马克思级差地租Ⅱ理论，同一地块上连续追加投资，边际投资效率递减。</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（4）销售税费、生产成本、运输成本、资本利息、经营利润均是以社会平均或一般水平来扣除。</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（5）土地上生产的产品数量为Q，每个产品市场价格为P，则市场价格＝PQ.实际测算地租的具体方法4种：</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lastRenderedPageBreak/>
        <w:t xml:space="preserve">　　——从房租中分离出地租</w:t>
      </w:r>
      <w:proofErr w:type="gramStart"/>
      <w:r w:rsidRPr="00156362">
        <w:rPr>
          <w:rFonts w:ascii="微软雅黑" w:eastAsia="微软雅黑" w:hAnsi="微软雅黑" w:cs="黑体" w:hint="eastAsia"/>
          <w:color w:val="000000"/>
          <w:sz w:val="21"/>
          <w:szCs w:val="21"/>
        </w:rPr>
        <w:t>地租</w:t>
      </w:r>
      <w:proofErr w:type="gramEnd"/>
      <w:r w:rsidRPr="00156362">
        <w:rPr>
          <w:rFonts w:ascii="微软雅黑" w:eastAsia="微软雅黑" w:hAnsi="微软雅黑" w:cs="黑体" w:hint="eastAsia"/>
          <w:color w:val="000000"/>
          <w:sz w:val="21"/>
          <w:szCs w:val="21"/>
        </w:rPr>
        <w:t>＝房租－房屋折旧费－维修费－管理费－投资利息－保险费－房地产税－租赁费用－租赁税费－利润。</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——由地价求出地租，地租＝地价×资本化率。</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——采用比较法求出地租。</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——采用类似假设开发法求出地租。</w:t>
      </w:r>
    </w:p>
    <w:p w:rsidR="004D3A0D" w:rsidRPr="00156362" w:rsidRDefault="004D3A0D" w:rsidP="007D35C8">
      <w:pPr>
        <w:spacing w:line="360" w:lineRule="auto"/>
        <w:rPr>
          <w:rFonts w:ascii="微软雅黑" w:eastAsia="微软雅黑" w:hAnsi="微软雅黑" w:cs="黑体"/>
          <w:szCs w:val="21"/>
        </w:rPr>
      </w:pPr>
    </w:p>
    <w:p w:rsidR="004D3A0D" w:rsidRPr="00156362" w:rsidRDefault="004446B2" w:rsidP="007D35C8">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156362">
        <w:rPr>
          <w:rStyle w:val="a7"/>
          <w:rFonts w:ascii="微软雅黑" w:eastAsia="微软雅黑" w:hAnsi="微软雅黑" w:cs="黑体" w:hint="eastAsia"/>
          <w:color w:val="000000"/>
          <w:sz w:val="21"/>
          <w:szCs w:val="21"/>
        </w:rPr>
        <w:t>2018年房估《理论与方法》</w:t>
      </w:r>
      <w:proofErr w:type="gramEnd"/>
      <w:r w:rsidRPr="00156362">
        <w:rPr>
          <w:rStyle w:val="a7"/>
          <w:rFonts w:ascii="微软雅黑" w:eastAsia="微软雅黑" w:hAnsi="微软雅黑" w:cs="黑体" w:hint="eastAsia"/>
          <w:color w:val="000000"/>
          <w:sz w:val="21"/>
          <w:szCs w:val="21"/>
        </w:rPr>
        <w:t>高频考点（第七章）</w:t>
      </w:r>
    </w:p>
    <w:p w:rsidR="004D3A0D" w:rsidRPr="00156362" w:rsidRDefault="007D35C8" w:rsidP="007D35C8">
      <w:pPr>
        <w:pStyle w:val="a6"/>
        <w:widowControl/>
        <w:spacing w:before="150" w:beforeAutospacing="0" w:after="150" w:afterAutospacing="0" w:line="360" w:lineRule="auto"/>
        <w:ind w:firstLineChars="200"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1、</w:t>
      </w:r>
      <w:r w:rsidR="004446B2" w:rsidRPr="00156362">
        <w:rPr>
          <w:rFonts w:ascii="微软雅黑" w:eastAsia="微软雅黑" w:hAnsi="微软雅黑" w:cs="黑体" w:hint="eastAsia"/>
          <w:color w:val="000000"/>
          <w:sz w:val="21"/>
          <w:szCs w:val="21"/>
        </w:rPr>
        <w:t>成本法适用的估价对象：新近开发建设完成的房地产、可以假设重新开发建设的现有房地产、正在开发建设的房地产、计划开发建设的房地产，都可以采用成本法估价。对于很少发生交易而限制了比较法运用，又没有经济收益或没有潜在经济收益而限制了收益法运用的房地产，如行政办公楼、学校、医院、图书馆、体育场馆、公园、军队营房等以公用、公益为目的的房地产，特别适用成本法估价。特殊厂房（如化工厂、钢铁厂、发电厂）、油田、码头、机场之类有独特设计或只针对特定使用者的特殊需要而开发建设的房地产，以及单独的建筑物或其装饰装修部分，通常也是采用成本法估价。</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在房地产保险（包括投保和理赔）和房地产损害赔偿中，往往也是采用成本法估价。（P286）</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2.成本法估价需要具备的条件</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lastRenderedPageBreak/>
        <w:t xml:space="preserve">　　需要具备两个条件：</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一是自由竞争（即可以自由进出市场）；</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二是该种房地产可以大量重复开发建设。</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注意下列3个问题：</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（1）应采用客观成本而不是实际成本。</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实际成本也称为个别成本，是购置估价对象的实际支出，或开发建设估价对象的实际支出</w:t>
      </w:r>
      <w:proofErr w:type="gramStart"/>
      <w:r w:rsidRPr="00156362">
        <w:rPr>
          <w:rFonts w:ascii="微软雅黑" w:eastAsia="微软雅黑" w:hAnsi="微软雅黑" w:cs="黑体" w:hint="eastAsia"/>
          <w:color w:val="000000"/>
          <w:sz w:val="21"/>
          <w:szCs w:val="21"/>
        </w:rPr>
        <w:t>及所得</w:t>
      </w:r>
      <w:proofErr w:type="gramEnd"/>
      <w:r w:rsidRPr="00156362">
        <w:rPr>
          <w:rFonts w:ascii="微软雅黑" w:eastAsia="微软雅黑" w:hAnsi="微软雅黑" w:cs="黑体" w:hint="eastAsia"/>
          <w:color w:val="000000"/>
          <w:sz w:val="21"/>
          <w:szCs w:val="21"/>
        </w:rPr>
        <w:t>利润。</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客观成本也称为正常成本，是购置估价对象的必要支出，或开发建设估价对象的必要支出及应得利润，或实际成本经剔除特殊的、偶然的因素后的成本。</w:t>
      </w:r>
    </w:p>
    <w:p w:rsidR="004D3A0D" w:rsidRPr="00156362" w:rsidRDefault="004446B2" w:rsidP="007D35C8">
      <w:pPr>
        <w:pStyle w:val="a6"/>
        <w:widowControl/>
        <w:numPr>
          <w:ilvl w:val="0"/>
          <w:numId w:val="4"/>
        </w:numPr>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在客观成本的基础上结合选址、规划设计等分析进行调整。现实中有一些选址不当或者规划设计不合理等造成不符合市场需求的房地产，如在人流量很小的地方建造的商场。虽然建造该商场花费费用巨大，但商场也不会有那么高的价值。</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（3）在客观成本的基础上结合市场供求分析进行调整。</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3.物质折旧（P321）</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（1）可修复项目，修复成本就是折旧，修复成本是采用合理的修复方案恢复到新的或相当于新的状况的必要支出及应得利润。</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（2）不可修复项目</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lastRenderedPageBreak/>
        <w:t xml:space="preserve">　　①短寿命项目，按照各自的寿命计算折旧。</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②长寿命项目，根据建筑物重新</w:t>
      </w:r>
      <w:proofErr w:type="gramStart"/>
      <w:r w:rsidRPr="00156362">
        <w:rPr>
          <w:rFonts w:ascii="微软雅黑" w:eastAsia="微软雅黑" w:hAnsi="微软雅黑" w:cs="黑体" w:hint="eastAsia"/>
          <w:color w:val="000000"/>
          <w:sz w:val="21"/>
          <w:szCs w:val="21"/>
        </w:rPr>
        <w:t>购建成</w:t>
      </w:r>
      <w:proofErr w:type="gramEnd"/>
      <w:r w:rsidRPr="00156362">
        <w:rPr>
          <w:rFonts w:ascii="微软雅黑" w:eastAsia="微软雅黑" w:hAnsi="微软雅黑" w:cs="黑体" w:hint="eastAsia"/>
          <w:color w:val="000000"/>
          <w:sz w:val="21"/>
          <w:szCs w:val="21"/>
        </w:rPr>
        <w:t>本减去</w:t>
      </w:r>
      <w:proofErr w:type="gramStart"/>
      <w:r w:rsidRPr="00156362">
        <w:rPr>
          <w:rFonts w:ascii="微软雅黑" w:eastAsia="微软雅黑" w:hAnsi="微软雅黑" w:cs="黑体" w:hint="eastAsia"/>
          <w:color w:val="000000"/>
          <w:sz w:val="21"/>
          <w:szCs w:val="21"/>
        </w:rPr>
        <w:t>各个可</w:t>
      </w:r>
      <w:proofErr w:type="gramEnd"/>
      <w:r w:rsidRPr="00156362">
        <w:rPr>
          <w:rFonts w:ascii="微软雅黑" w:eastAsia="微软雅黑" w:hAnsi="微软雅黑" w:cs="黑体" w:hint="eastAsia"/>
          <w:color w:val="000000"/>
          <w:sz w:val="21"/>
          <w:szCs w:val="21"/>
        </w:rPr>
        <w:t>修复项目的修复成本和短寿命项目的重新</w:t>
      </w:r>
      <w:proofErr w:type="gramStart"/>
      <w:r w:rsidRPr="00156362">
        <w:rPr>
          <w:rFonts w:ascii="微软雅黑" w:eastAsia="微软雅黑" w:hAnsi="微软雅黑" w:cs="黑体" w:hint="eastAsia"/>
          <w:color w:val="000000"/>
          <w:sz w:val="21"/>
          <w:szCs w:val="21"/>
        </w:rPr>
        <w:t>购建成</w:t>
      </w:r>
      <w:proofErr w:type="gramEnd"/>
      <w:r w:rsidRPr="00156362">
        <w:rPr>
          <w:rFonts w:ascii="微软雅黑" w:eastAsia="微软雅黑" w:hAnsi="微软雅黑" w:cs="黑体" w:hint="eastAsia"/>
          <w:color w:val="000000"/>
          <w:sz w:val="21"/>
          <w:szCs w:val="21"/>
        </w:rPr>
        <w:t>本后的余额、建筑物的有效年龄、经济寿命或剩余经济寿命，采用年限法计算其折旧额。</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4.开发利润</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开发利润是房地产开发企业（或业主、建设单位）的利润，而不是建筑施工企业的利润（在建安成本中）。</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开发利润指土地增值税、企业所得税税前利润。</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开发利润是该类房地产开发项目在正常条件下开发企业所能获得的平均利润，而不是个别开发企业最终实际获得的利润，也不是个别开发企业期望获得的利润。</w:t>
      </w:r>
    </w:p>
    <w:p w:rsidR="004D3A0D" w:rsidRPr="00156362" w:rsidRDefault="004446B2" w:rsidP="007D35C8">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根据不同的基数，有不同的利润率指标。（利润率一般是通过大量调查同一市场上类似房地产开发项目的利润率得到的，比较法的原理）</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noProof/>
          <w:color w:val="000000"/>
          <w:sz w:val="21"/>
          <w:szCs w:val="21"/>
        </w:rPr>
        <w:drawing>
          <wp:inline distT="0" distB="0" distL="114300" distR="114300">
            <wp:extent cx="4657725" cy="2266950"/>
            <wp:effectExtent l="0" t="0" r="9525" b="0"/>
            <wp:docPr id="32" name="图片 3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IMG_256"/>
                    <pic:cNvPicPr>
                      <a:picLocks noChangeAspect="1"/>
                    </pic:cNvPicPr>
                  </pic:nvPicPr>
                  <pic:blipFill>
                    <a:blip r:embed="rId9" cstate="print"/>
                    <a:stretch>
                      <a:fillRect/>
                    </a:stretch>
                  </pic:blipFill>
                  <pic:spPr>
                    <a:xfrm>
                      <a:off x="0" y="0"/>
                      <a:ext cx="4657725" cy="2266950"/>
                    </a:xfrm>
                    <a:prstGeom prst="rect">
                      <a:avLst/>
                    </a:prstGeom>
                    <a:noFill/>
                    <a:ln w="9525">
                      <a:noFill/>
                    </a:ln>
                  </pic:spPr>
                </pic:pic>
              </a:graphicData>
            </a:graphic>
          </wp:inline>
        </w:drawing>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lastRenderedPageBreak/>
        <w:t xml:space="preserve">　　直接成本利润率最大，其次是投资利润率，再次是成本利润率，销售利润率最小。</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直接成本好记，7个项目中，</w:t>
      </w:r>
      <w:proofErr w:type="gramStart"/>
      <w:r w:rsidRPr="00156362">
        <w:rPr>
          <w:rFonts w:ascii="微软雅黑" w:eastAsia="微软雅黑" w:hAnsi="微软雅黑" w:cs="黑体" w:hint="eastAsia"/>
          <w:color w:val="000000"/>
          <w:sz w:val="21"/>
          <w:szCs w:val="21"/>
        </w:rPr>
        <w:t>带成本</w:t>
      </w:r>
      <w:proofErr w:type="gramEnd"/>
      <w:r w:rsidRPr="00156362">
        <w:rPr>
          <w:rFonts w:ascii="微软雅黑" w:eastAsia="微软雅黑" w:hAnsi="微软雅黑" w:cs="黑体" w:hint="eastAsia"/>
          <w:color w:val="000000"/>
          <w:sz w:val="21"/>
          <w:szCs w:val="21"/>
        </w:rPr>
        <w:t>字眼的就2个，就是直接成本，销售利润率是按照开发完成后的全部价值计算的，包含全部7个项目。注意：</w:t>
      </w:r>
      <w:proofErr w:type="gramStart"/>
      <w:r w:rsidRPr="00156362">
        <w:rPr>
          <w:rFonts w:ascii="微软雅黑" w:eastAsia="微软雅黑" w:hAnsi="微软雅黑" w:cs="黑体" w:hint="eastAsia"/>
          <w:color w:val="000000"/>
          <w:sz w:val="21"/>
          <w:szCs w:val="21"/>
        </w:rPr>
        <w:t>算开发</w:t>
      </w:r>
      <w:proofErr w:type="gramEnd"/>
      <w:r w:rsidRPr="00156362">
        <w:rPr>
          <w:rFonts w:ascii="微软雅黑" w:eastAsia="微软雅黑" w:hAnsi="微软雅黑" w:cs="黑体" w:hint="eastAsia"/>
          <w:color w:val="000000"/>
          <w:sz w:val="21"/>
          <w:szCs w:val="21"/>
        </w:rPr>
        <w:t>利润时，开发利润也是销售利润率计算的项目。</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考试时主要考中间的两个，因为容易混淆。记忆窍门：投4成5，总共7个项目，女人“头饰”（头谐音投，投资利润率，</w:t>
      </w:r>
      <w:proofErr w:type="gramStart"/>
      <w:r w:rsidRPr="00156362">
        <w:rPr>
          <w:rFonts w:ascii="微软雅黑" w:eastAsia="微软雅黑" w:hAnsi="微软雅黑" w:cs="黑体" w:hint="eastAsia"/>
          <w:color w:val="000000"/>
          <w:sz w:val="21"/>
          <w:szCs w:val="21"/>
        </w:rPr>
        <w:t>取成本</w:t>
      </w:r>
      <w:proofErr w:type="gramEnd"/>
      <w:r w:rsidRPr="00156362">
        <w:rPr>
          <w:rFonts w:ascii="微软雅黑" w:eastAsia="微软雅黑" w:hAnsi="微软雅黑" w:cs="黑体" w:hint="eastAsia"/>
          <w:color w:val="000000"/>
          <w:sz w:val="21"/>
          <w:szCs w:val="21"/>
        </w:rPr>
        <w:t>项目的前4个）、男人“金城武”（城谐音成，成本利润率，</w:t>
      </w:r>
      <w:proofErr w:type="gramStart"/>
      <w:r w:rsidRPr="00156362">
        <w:rPr>
          <w:rFonts w:ascii="微软雅黑" w:eastAsia="微软雅黑" w:hAnsi="微软雅黑" w:cs="黑体" w:hint="eastAsia"/>
          <w:color w:val="000000"/>
          <w:sz w:val="21"/>
          <w:szCs w:val="21"/>
        </w:rPr>
        <w:t>取成本</w:t>
      </w:r>
      <w:proofErr w:type="gramEnd"/>
      <w:r w:rsidRPr="00156362">
        <w:rPr>
          <w:rFonts w:ascii="微软雅黑" w:eastAsia="微软雅黑" w:hAnsi="微软雅黑" w:cs="黑体" w:hint="eastAsia"/>
          <w:color w:val="000000"/>
          <w:sz w:val="21"/>
          <w:szCs w:val="21"/>
        </w:rPr>
        <w:t>项目的前5个；还有一个理解方法：投资的时候利息还没发生，所以不在投资成本中）。</w:t>
      </w:r>
    </w:p>
    <w:p w:rsidR="004D3A0D" w:rsidRPr="00156362" w:rsidRDefault="004D3A0D" w:rsidP="007D35C8">
      <w:pPr>
        <w:spacing w:line="360" w:lineRule="auto"/>
        <w:rPr>
          <w:rFonts w:ascii="微软雅黑" w:eastAsia="微软雅黑" w:hAnsi="微软雅黑" w:cs="黑体"/>
          <w:szCs w:val="21"/>
        </w:rPr>
      </w:pPr>
    </w:p>
    <w:p w:rsidR="004D3A0D" w:rsidRPr="00156362" w:rsidRDefault="004446B2" w:rsidP="007D35C8">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156362">
        <w:rPr>
          <w:rStyle w:val="a7"/>
          <w:rFonts w:ascii="微软雅黑" w:eastAsia="微软雅黑" w:hAnsi="微软雅黑" w:cs="黑体" w:hint="eastAsia"/>
          <w:color w:val="000000"/>
          <w:sz w:val="21"/>
          <w:szCs w:val="21"/>
        </w:rPr>
        <w:t>2018年房估《理论与方法》</w:t>
      </w:r>
      <w:proofErr w:type="gramEnd"/>
      <w:r w:rsidRPr="00156362">
        <w:rPr>
          <w:rStyle w:val="a7"/>
          <w:rFonts w:ascii="微软雅黑" w:eastAsia="微软雅黑" w:hAnsi="微软雅黑" w:cs="黑体" w:hint="eastAsia"/>
          <w:color w:val="000000"/>
          <w:sz w:val="21"/>
          <w:szCs w:val="21"/>
        </w:rPr>
        <w:t>高频考点（第八章）</w:t>
      </w:r>
    </w:p>
    <w:p w:rsidR="004D3A0D" w:rsidRPr="00156362" w:rsidRDefault="004446B2" w:rsidP="007D35C8">
      <w:pPr>
        <w:pStyle w:val="a6"/>
        <w:widowControl/>
        <w:numPr>
          <w:ilvl w:val="0"/>
          <w:numId w:val="5"/>
        </w:numPr>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假设开发法的估价前提有3种：</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（1）业主自行开发前提；</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（2）自愿转让开发前提；</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（3）被迫转让开发前提。一般情况下，自行开发前提下的价值＞自愿转让前提下的价值&gt;被迫转让前提下的价值。（P341～342）</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lastRenderedPageBreak/>
        <w:t xml:space="preserve">　　在运用假设开发法时究竟应采用上述哪种估价前提进行估价，不是估价师可以随意假定的，必须根据估价目的和估价对象所处的实际情况来选择，并应在估价报告中充分说明理由。房地产抵押估价和房地产司法拍卖估价，一般应采用“被迫转让前提”。</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2.假设开发法的理论依据（1）理论依据——预期原理和地租原理（一次性的价格剩余）。</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（2）表现形式——评估新开发建设的房地产价值的成本法的倒算法。</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（3）假设开发法与成本法主要区别：</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①成本法中的土地价值为已知，需要求取的是开发完成后的房地产价值。</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②假设开发法中，开发完成后的房地产价值通过预测得到，需要求取的是土地价值。</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③起点和终点（已知和未知）刚好相反。</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3.在调查、分析了房地产开发用地的状况和当地房地产市场状况后，便可以选取最佳的开发利用方式，包括选取最佳的用途、建筑规模、档次等。（P343）</w:t>
      </w:r>
    </w:p>
    <w:p w:rsidR="004D3A0D" w:rsidRPr="00156362" w:rsidRDefault="004446B2" w:rsidP="007D35C8">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4.折现率（掌握）</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◆与报酬资本化法中的报酬率的性质和求取方法相同。等同于同一市场上相同或相似的房地产开发项目所要求的平均报酬率。</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◆本质上体现了资金的利率和开发利润率两部分。</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（用动态分析法时，利息和利润不需要再另外计算。包含在折现率中予以考虑）。</w:t>
      </w:r>
    </w:p>
    <w:p w:rsidR="004D3A0D" w:rsidRPr="00156362" w:rsidRDefault="004446B2"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lastRenderedPageBreak/>
        <w:t>5.测算中的其他有关问题假设开发法本质上是一种收益法，在上述测算中只讲了通常情况下的开发完成后的房地产价值，在实际估价中特别是评估投资价值时，有时还应考虑某些额外的收入、节省的费用或无形收益。</w:t>
      </w:r>
    </w:p>
    <w:p w:rsidR="007D35C8" w:rsidRPr="00156362" w:rsidRDefault="007D35C8" w:rsidP="007D35C8">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p>
    <w:p w:rsidR="004D3A0D" w:rsidRPr="00156362" w:rsidRDefault="004446B2" w:rsidP="007D35C8">
      <w:pPr>
        <w:pStyle w:val="a6"/>
        <w:widowControl/>
        <w:spacing w:before="150" w:beforeAutospacing="0" w:after="150" w:afterAutospacing="0" w:line="360" w:lineRule="auto"/>
        <w:jc w:val="center"/>
        <w:rPr>
          <w:rFonts w:ascii="微软雅黑" w:eastAsia="微软雅黑" w:hAnsi="微软雅黑" w:cs="黑体"/>
          <w:color w:val="000000"/>
          <w:sz w:val="21"/>
          <w:szCs w:val="21"/>
        </w:rPr>
      </w:pPr>
      <w:r w:rsidRPr="00156362">
        <w:rPr>
          <w:rStyle w:val="a7"/>
          <w:rFonts w:ascii="微软雅黑" w:eastAsia="微软雅黑" w:hAnsi="微软雅黑" w:cs="黑体" w:hint="eastAsia"/>
          <w:color w:val="000000"/>
          <w:sz w:val="21"/>
          <w:szCs w:val="21"/>
        </w:rPr>
        <w:t>a</w:t>
      </w:r>
      <w:proofErr w:type="gramStart"/>
      <w:r w:rsidRPr="00156362">
        <w:rPr>
          <w:rStyle w:val="a7"/>
          <w:rFonts w:ascii="微软雅黑" w:eastAsia="微软雅黑" w:hAnsi="微软雅黑" w:cs="黑体" w:hint="eastAsia"/>
          <w:color w:val="000000"/>
          <w:sz w:val="21"/>
          <w:szCs w:val="21"/>
        </w:rPr>
        <w:t>2018年房估《理论与方法》</w:t>
      </w:r>
      <w:proofErr w:type="gramEnd"/>
      <w:r w:rsidRPr="00156362">
        <w:rPr>
          <w:rStyle w:val="a7"/>
          <w:rFonts w:ascii="微软雅黑" w:eastAsia="微软雅黑" w:hAnsi="微软雅黑" w:cs="黑体" w:hint="eastAsia"/>
          <w:color w:val="000000"/>
          <w:sz w:val="21"/>
          <w:szCs w:val="21"/>
        </w:rPr>
        <w:t>高频考点（第九章）</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Style w:val="a7"/>
          <w:rFonts w:ascii="微软雅黑" w:eastAsia="微软雅黑" w:hAnsi="微软雅黑" w:cs="黑体" w:hint="eastAsia"/>
          <w:color w:val="000000"/>
          <w:sz w:val="21"/>
          <w:szCs w:val="21"/>
        </w:rPr>
        <w:t xml:space="preserve">　　</w:t>
      </w:r>
      <w:r w:rsidRPr="00156362">
        <w:rPr>
          <w:rFonts w:ascii="微软雅黑" w:eastAsia="微软雅黑" w:hAnsi="微软雅黑" w:cs="黑体" w:hint="eastAsia"/>
          <w:color w:val="000000"/>
          <w:sz w:val="21"/>
          <w:szCs w:val="21"/>
        </w:rPr>
        <w:t>1.</w:t>
      </w:r>
      <w:proofErr w:type="gramStart"/>
      <w:r w:rsidRPr="00156362">
        <w:rPr>
          <w:rFonts w:ascii="微软雅黑" w:eastAsia="微软雅黑" w:hAnsi="微软雅黑" w:cs="黑体" w:hint="eastAsia"/>
          <w:color w:val="000000"/>
          <w:sz w:val="21"/>
          <w:szCs w:val="21"/>
        </w:rPr>
        <w:t>路线价</w:t>
      </w:r>
      <w:proofErr w:type="gramEnd"/>
      <w:r w:rsidRPr="00156362">
        <w:rPr>
          <w:rFonts w:ascii="微软雅黑" w:eastAsia="微软雅黑" w:hAnsi="微软雅黑" w:cs="黑体" w:hint="eastAsia"/>
          <w:color w:val="000000"/>
          <w:sz w:val="21"/>
          <w:szCs w:val="21"/>
        </w:rPr>
        <w:t>法是在城镇街道上划分</w:t>
      </w:r>
      <w:proofErr w:type="gramStart"/>
      <w:r w:rsidRPr="00156362">
        <w:rPr>
          <w:rFonts w:ascii="微软雅黑" w:eastAsia="微软雅黑" w:hAnsi="微软雅黑" w:cs="黑体" w:hint="eastAsia"/>
          <w:color w:val="000000"/>
          <w:sz w:val="21"/>
          <w:szCs w:val="21"/>
        </w:rPr>
        <w:t>路线价</w:t>
      </w:r>
      <w:proofErr w:type="gramEnd"/>
      <w:r w:rsidRPr="00156362">
        <w:rPr>
          <w:rFonts w:ascii="微软雅黑" w:eastAsia="微软雅黑" w:hAnsi="微软雅黑" w:cs="黑体" w:hint="eastAsia"/>
          <w:color w:val="000000"/>
          <w:sz w:val="21"/>
          <w:szCs w:val="21"/>
        </w:rPr>
        <w:t>区段并设定标准临街深度，在每个</w:t>
      </w:r>
      <w:proofErr w:type="gramStart"/>
      <w:r w:rsidRPr="00156362">
        <w:rPr>
          <w:rFonts w:ascii="微软雅黑" w:eastAsia="微软雅黑" w:hAnsi="微软雅黑" w:cs="黑体" w:hint="eastAsia"/>
          <w:color w:val="000000"/>
          <w:sz w:val="21"/>
          <w:szCs w:val="21"/>
        </w:rPr>
        <w:t>路线价</w:t>
      </w:r>
      <w:proofErr w:type="gramEnd"/>
      <w:r w:rsidRPr="00156362">
        <w:rPr>
          <w:rFonts w:ascii="微软雅黑" w:eastAsia="微软雅黑" w:hAnsi="微软雅黑" w:cs="黑体" w:hint="eastAsia"/>
          <w:color w:val="000000"/>
          <w:sz w:val="21"/>
          <w:szCs w:val="21"/>
        </w:rPr>
        <w:t>区段内选取一定数量的标准临街宗地并测算其平均单价或楼面地价，利用相关调整系数将</w:t>
      </w:r>
      <w:proofErr w:type="gramStart"/>
      <w:r w:rsidRPr="00156362">
        <w:rPr>
          <w:rFonts w:ascii="微软雅黑" w:eastAsia="微软雅黑" w:hAnsi="微软雅黑" w:cs="黑体" w:hint="eastAsia"/>
          <w:color w:val="000000"/>
          <w:sz w:val="21"/>
          <w:szCs w:val="21"/>
        </w:rPr>
        <w:t>该平均</w:t>
      </w:r>
      <w:proofErr w:type="gramEnd"/>
      <w:r w:rsidRPr="00156362">
        <w:rPr>
          <w:rFonts w:ascii="微软雅黑" w:eastAsia="微软雅黑" w:hAnsi="微软雅黑" w:cs="黑体" w:hint="eastAsia"/>
          <w:color w:val="000000"/>
          <w:sz w:val="21"/>
          <w:szCs w:val="21"/>
        </w:rPr>
        <w:t>单价或楼面地价调整为各宗临街土地价值或价格的方法。（P363）</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2.</w:t>
      </w:r>
      <w:proofErr w:type="gramStart"/>
      <w:r w:rsidRPr="00156362">
        <w:rPr>
          <w:rFonts w:ascii="微软雅黑" w:eastAsia="微软雅黑" w:hAnsi="微软雅黑" w:cs="黑体" w:hint="eastAsia"/>
          <w:color w:val="000000"/>
          <w:sz w:val="21"/>
          <w:szCs w:val="21"/>
        </w:rPr>
        <w:t>路线价</w:t>
      </w:r>
      <w:proofErr w:type="gramEnd"/>
      <w:r w:rsidRPr="00156362">
        <w:rPr>
          <w:rFonts w:ascii="微软雅黑" w:eastAsia="微软雅黑" w:hAnsi="微软雅黑" w:cs="黑体" w:hint="eastAsia"/>
          <w:color w:val="000000"/>
          <w:sz w:val="21"/>
          <w:szCs w:val="21"/>
        </w:rPr>
        <w:t>法与比较法的不同：</w:t>
      </w:r>
      <w:proofErr w:type="gramStart"/>
      <w:r w:rsidRPr="00156362">
        <w:rPr>
          <w:rFonts w:ascii="微软雅黑" w:eastAsia="微软雅黑" w:hAnsi="微软雅黑" w:cs="黑体" w:hint="eastAsia"/>
          <w:color w:val="000000"/>
          <w:sz w:val="21"/>
          <w:szCs w:val="21"/>
        </w:rPr>
        <w:t>路线价</w:t>
      </w:r>
      <w:proofErr w:type="gramEnd"/>
      <w:r w:rsidRPr="00156362">
        <w:rPr>
          <w:rFonts w:ascii="微软雅黑" w:eastAsia="微软雅黑" w:hAnsi="微软雅黑" w:cs="黑体" w:hint="eastAsia"/>
          <w:color w:val="000000"/>
          <w:sz w:val="21"/>
          <w:szCs w:val="21"/>
        </w:rPr>
        <w:t>法不做交易情况修正和市场状况调整；</w:t>
      </w:r>
      <w:proofErr w:type="gramStart"/>
      <w:r w:rsidRPr="00156362">
        <w:rPr>
          <w:rFonts w:ascii="微软雅黑" w:eastAsia="微软雅黑" w:hAnsi="微软雅黑" w:cs="黑体" w:hint="eastAsia"/>
          <w:color w:val="000000"/>
          <w:sz w:val="21"/>
          <w:szCs w:val="21"/>
        </w:rPr>
        <w:t>路线价</w:t>
      </w:r>
      <w:proofErr w:type="gramEnd"/>
      <w:r w:rsidRPr="00156362">
        <w:rPr>
          <w:rFonts w:ascii="微软雅黑" w:eastAsia="微软雅黑" w:hAnsi="微软雅黑" w:cs="黑体" w:hint="eastAsia"/>
          <w:color w:val="000000"/>
          <w:sz w:val="21"/>
          <w:szCs w:val="21"/>
        </w:rPr>
        <w:t>先对多个可比实例价格进行综合，再进行房地产状况调整。（P364）</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3.划分</w:t>
      </w:r>
      <w:proofErr w:type="gramStart"/>
      <w:r w:rsidRPr="00156362">
        <w:rPr>
          <w:rFonts w:ascii="微软雅黑" w:eastAsia="微软雅黑" w:hAnsi="微软雅黑" w:cs="黑体" w:hint="eastAsia"/>
          <w:color w:val="000000"/>
          <w:sz w:val="21"/>
          <w:szCs w:val="21"/>
        </w:rPr>
        <w:t>路线价</w:t>
      </w:r>
      <w:proofErr w:type="gramEnd"/>
      <w:r w:rsidRPr="00156362">
        <w:rPr>
          <w:rFonts w:ascii="微软雅黑" w:eastAsia="微软雅黑" w:hAnsi="微软雅黑" w:cs="黑体" w:hint="eastAsia"/>
          <w:color w:val="000000"/>
          <w:sz w:val="21"/>
          <w:szCs w:val="21"/>
        </w:rPr>
        <w:t>区段（熟悉）</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w:t>
      </w:r>
      <w:proofErr w:type="gramStart"/>
      <w:r w:rsidRPr="00156362">
        <w:rPr>
          <w:rFonts w:ascii="微软雅黑" w:eastAsia="微软雅黑" w:hAnsi="微软雅黑" w:cs="黑体" w:hint="eastAsia"/>
          <w:color w:val="000000"/>
          <w:sz w:val="21"/>
          <w:szCs w:val="21"/>
        </w:rPr>
        <w:t>路线价</w:t>
      </w:r>
      <w:proofErr w:type="gramEnd"/>
      <w:r w:rsidRPr="00156362">
        <w:rPr>
          <w:rFonts w:ascii="微软雅黑" w:eastAsia="微软雅黑" w:hAnsi="微软雅黑" w:cs="黑体" w:hint="eastAsia"/>
          <w:color w:val="000000"/>
          <w:sz w:val="21"/>
          <w:szCs w:val="21"/>
        </w:rPr>
        <w:t>区段，是指具有相同</w:t>
      </w:r>
      <w:proofErr w:type="gramStart"/>
      <w:r w:rsidRPr="00156362">
        <w:rPr>
          <w:rFonts w:ascii="微软雅黑" w:eastAsia="微软雅黑" w:hAnsi="微软雅黑" w:cs="黑体" w:hint="eastAsia"/>
          <w:color w:val="000000"/>
          <w:sz w:val="21"/>
          <w:szCs w:val="21"/>
        </w:rPr>
        <w:t>路线价</w:t>
      </w:r>
      <w:proofErr w:type="gramEnd"/>
      <w:r w:rsidRPr="00156362">
        <w:rPr>
          <w:rFonts w:ascii="微软雅黑" w:eastAsia="微软雅黑" w:hAnsi="微软雅黑" w:cs="黑体" w:hint="eastAsia"/>
          <w:color w:val="000000"/>
          <w:sz w:val="21"/>
          <w:szCs w:val="21"/>
        </w:rPr>
        <w:t>的地段。</w:t>
      </w:r>
    </w:p>
    <w:p w:rsidR="004D3A0D" w:rsidRPr="00156362" w:rsidRDefault="004446B2" w:rsidP="007D35C8">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划分原则：</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将“通达性相当、位置相邻、地价相近”的临街土地划为同一个</w:t>
      </w:r>
      <w:proofErr w:type="gramStart"/>
      <w:r w:rsidRPr="00156362">
        <w:rPr>
          <w:rFonts w:ascii="微软雅黑" w:eastAsia="微软雅黑" w:hAnsi="微软雅黑" w:cs="黑体" w:hint="eastAsia"/>
          <w:color w:val="000000"/>
          <w:sz w:val="21"/>
          <w:szCs w:val="21"/>
        </w:rPr>
        <w:t>路线价</w:t>
      </w:r>
      <w:proofErr w:type="gramEnd"/>
      <w:r w:rsidRPr="00156362">
        <w:rPr>
          <w:rFonts w:ascii="微软雅黑" w:eastAsia="微软雅黑" w:hAnsi="微软雅黑" w:cs="黑体" w:hint="eastAsia"/>
          <w:color w:val="000000"/>
          <w:sz w:val="21"/>
          <w:szCs w:val="21"/>
        </w:rPr>
        <w:t>区段。</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两个</w:t>
      </w:r>
      <w:proofErr w:type="gramStart"/>
      <w:r w:rsidRPr="00156362">
        <w:rPr>
          <w:rFonts w:ascii="微软雅黑" w:eastAsia="微软雅黑" w:hAnsi="微软雅黑" w:cs="黑体" w:hint="eastAsia"/>
          <w:color w:val="000000"/>
          <w:sz w:val="21"/>
          <w:szCs w:val="21"/>
        </w:rPr>
        <w:t>路线价</w:t>
      </w:r>
      <w:proofErr w:type="gramEnd"/>
      <w:r w:rsidRPr="00156362">
        <w:rPr>
          <w:rFonts w:ascii="微软雅黑" w:eastAsia="微软雅黑" w:hAnsi="微软雅黑" w:cs="黑体" w:hint="eastAsia"/>
          <w:color w:val="000000"/>
          <w:sz w:val="21"/>
          <w:szCs w:val="21"/>
        </w:rPr>
        <w:t>区段的分界线，是地价水平有明显差异的地点，一般是从十字路或</w:t>
      </w:r>
      <w:proofErr w:type="gramStart"/>
      <w:r w:rsidRPr="00156362">
        <w:rPr>
          <w:rFonts w:ascii="微软雅黑" w:eastAsia="微软雅黑" w:hAnsi="微软雅黑" w:cs="黑体" w:hint="eastAsia"/>
          <w:color w:val="000000"/>
          <w:sz w:val="21"/>
          <w:szCs w:val="21"/>
        </w:rPr>
        <w:t>丁字路</w:t>
      </w:r>
      <w:proofErr w:type="gramEnd"/>
      <w:r w:rsidRPr="00156362">
        <w:rPr>
          <w:rFonts w:ascii="微软雅黑" w:eastAsia="微软雅黑" w:hAnsi="微软雅黑" w:cs="黑体" w:hint="eastAsia"/>
          <w:color w:val="000000"/>
          <w:sz w:val="21"/>
          <w:szCs w:val="21"/>
        </w:rPr>
        <w:t>中心处划分，两个路口之间的地段为一个</w:t>
      </w:r>
      <w:proofErr w:type="gramStart"/>
      <w:r w:rsidRPr="00156362">
        <w:rPr>
          <w:rFonts w:ascii="微软雅黑" w:eastAsia="微软雅黑" w:hAnsi="微软雅黑" w:cs="黑体" w:hint="eastAsia"/>
          <w:color w:val="000000"/>
          <w:sz w:val="21"/>
          <w:szCs w:val="21"/>
        </w:rPr>
        <w:t>路线价</w:t>
      </w:r>
      <w:proofErr w:type="gramEnd"/>
      <w:r w:rsidRPr="00156362">
        <w:rPr>
          <w:rFonts w:ascii="微软雅黑" w:eastAsia="微软雅黑" w:hAnsi="微软雅黑" w:cs="黑体" w:hint="eastAsia"/>
          <w:color w:val="000000"/>
          <w:sz w:val="21"/>
          <w:szCs w:val="21"/>
        </w:rPr>
        <w:t>区段。</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较长的繁华街道，两个路口之间的地段可以划分为两个以上的</w:t>
      </w:r>
      <w:proofErr w:type="gramStart"/>
      <w:r w:rsidRPr="00156362">
        <w:rPr>
          <w:rFonts w:ascii="微软雅黑" w:eastAsia="微软雅黑" w:hAnsi="微软雅黑" w:cs="黑体" w:hint="eastAsia"/>
          <w:color w:val="000000"/>
          <w:sz w:val="21"/>
          <w:szCs w:val="21"/>
        </w:rPr>
        <w:t>路线价</w:t>
      </w:r>
      <w:proofErr w:type="gramEnd"/>
      <w:r w:rsidRPr="00156362">
        <w:rPr>
          <w:rFonts w:ascii="微软雅黑" w:eastAsia="微软雅黑" w:hAnsi="微软雅黑" w:cs="黑体" w:hint="eastAsia"/>
          <w:color w:val="000000"/>
          <w:sz w:val="21"/>
          <w:szCs w:val="21"/>
        </w:rPr>
        <w:t>区段。</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lastRenderedPageBreak/>
        <w:t xml:space="preserve">　　不繁华的街道，同一个</w:t>
      </w:r>
      <w:proofErr w:type="gramStart"/>
      <w:r w:rsidRPr="00156362">
        <w:rPr>
          <w:rFonts w:ascii="微软雅黑" w:eastAsia="微软雅黑" w:hAnsi="微软雅黑" w:cs="黑体" w:hint="eastAsia"/>
          <w:color w:val="000000"/>
          <w:sz w:val="21"/>
          <w:szCs w:val="21"/>
        </w:rPr>
        <w:t>路线价</w:t>
      </w:r>
      <w:proofErr w:type="gramEnd"/>
      <w:r w:rsidRPr="00156362">
        <w:rPr>
          <w:rFonts w:ascii="微软雅黑" w:eastAsia="微软雅黑" w:hAnsi="微软雅黑" w:cs="黑体" w:hint="eastAsia"/>
          <w:color w:val="000000"/>
          <w:sz w:val="21"/>
          <w:szCs w:val="21"/>
        </w:rPr>
        <w:t>区段可延长至数个路口。</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同一条街道两侧的繁华程度、地价水平有明显差异的，应以街道中心为分界线，将该街道两侧视为不同的</w:t>
      </w:r>
      <w:proofErr w:type="gramStart"/>
      <w:r w:rsidRPr="00156362">
        <w:rPr>
          <w:rFonts w:ascii="微软雅黑" w:eastAsia="微软雅黑" w:hAnsi="微软雅黑" w:cs="黑体" w:hint="eastAsia"/>
          <w:color w:val="000000"/>
          <w:sz w:val="21"/>
          <w:szCs w:val="21"/>
        </w:rPr>
        <w:t>路线价</w:t>
      </w:r>
      <w:proofErr w:type="gramEnd"/>
      <w:r w:rsidRPr="00156362">
        <w:rPr>
          <w:rFonts w:ascii="微软雅黑" w:eastAsia="微软雅黑" w:hAnsi="微软雅黑" w:cs="黑体" w:hint="eastAsia"/>
          <w:color w:val="000000"/>
          <w:sz w:val="21"/>
          <w:szCs w:val="21"/>
        </w:rPr>
        <w:t>区段，分别附设不同的路线价。同一街道可以有两个不同的路线价。</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4.平均增减量法适用条件：房地产价格的变动过程是持续上升或下降，并且各期上升或下降的数额大致接近。</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5.标准价调整法是对估价范围内的所有被估价房地产进行分组，使同一组内的房地产具有相似性，在每组内选定或设定标准房地产并测算其价值或价格，利用有关调整系数将标准房地产价值或价格调整为各宗被估价房地产价值或价格的方法。标准价调整法是一种批量估价方法，主要用于存量房交易税收估价和房地产税计税价值评估。（P378）</w:t>
      </w:r>
    </w:p>
    <w:p w:rsidR="004D3A0D" w:rsidRPr="00156362" w:rsidRDefault="004D3A0D" w:rsidP="007D35C8">
      <w:pPr>
        <w:spacing w:line="360" w:lineRule="auto"/>
        <w:rPr>
          <w:rFonts w:ascii="微软雅黑" w:eastAsia="微软雅黑" w:hAnsi="微软雅黑" w:cs="黑体"/>
          <w:szCs w:val="21"/>
        </w:rPr>
      </w:pPr>
    </w:p>
    <w:p w:rsidR="004D3A0D" w:rsidRPr="00156362" w:rsidRDefault="004446B2" w:rsidP="007D35C8">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156362">
        <w:rPr>
          <w:rStyle w:val="a7"/>
          <w:rFonts w:ascii="微软雅黑" w:eastAsia="微软雅黑" w:hAnsi="微软雅黑" w:cs="黑体" w:hint="eastAsia"/>
          <w:color w:val="000000"/>
          <w:sz w:val="21"/>
          <w:szCs w:val="21"/>
        </w:rPr>
        <w:t>2018年房估《理论与方法》</w:t>
      </w:r>
      <w:proofErr w:type="gramEnd"/>
      <w:r w:rsidRPr="00156362">
        <w:rPr>
          <w:rStyle w:val="a7"/>
          <w:rFonts w:ascii="微软雅黑" w:eastAsia="微软雅黑" w:hAnsi="微软雅黑" w:cs="黑体" w:hint="eastAsia"/>
          <w:color w:val="000000"/>
          <w:sz w:val="21"/>
          <w:szCs w:val="21"/>
        </w:rPr>
        <w:t>高频考点（第十章）</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1.估价程序作用：规范估价行为；保证估价质量；提高估价效率；防范估价风险。（P396）</w:t>
      </w:r>
    </w:p>
    <w:p w:rsidR="004D3A0D" w:rsidRPr="00156362" w:rsidRDefault="004446B2" w:rsidP="007D35C8">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2.估价基本事项概述4个：估价目的、估价对象、价值时点和价值类型。</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估价基本事项不能明确的责任，主要在估价师。</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估价基本事项之间的关系。估价目的是龙头。它决定估价对象、价值时点和价值类型。</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法律、法规规定不得抵押的房地产，不应作为抵押估价目的的估价对象。</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lastRenderedPageBreak/>
        <w:t xml:space="preserve">　　不能独立使用、处分的房地产，不宜作为抵押物，一般不具有抵押价值，不宜作为抵押估价目的的估价对象。</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估价对象与价值时点有关。确定价值时点一般应在确定具体的估价对象之前。价值时点不同，估价对象的具体状况可能不同。</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3.档案保存期限（P424）</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（1）自估价报告出具日期起算，估价资料的保存期限不少于15年；属于法定评估业务的，保存期限不少于30年。</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（2）估价资料保存已超过15年或30年而估价服务的行为尚未结束的，应当保存到估价服务的行为结束。</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（3）估价机构终止的，其估价报告及相关资料应当移交当地建设（房地产）行政主管部门或者其指定的机构。</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4.4.估价师对资料的质疑《资产评估法》第十二条，估价师有权要求委托人提供相关的权属证明、财务会计信息和其他资料。</w:t>
      </w:r>
    </w:p>
    <w:p w:rsidR="004D3A0D" w:rsidRPr="00156362" w:rsidRDefault="004446B2" w:rsidP="007D35C8">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《资产评估法》第十八条，委托人拒绝提供或</w:t>
      </w:r>
      <w:proofErr w:type="gramStart"/>
      <w:r w:rsidRPr="00156362">
        <w:rPr>
          <w:rFonts w:ascii="微软雅黑" w:eastAsia="微软雅黑" w:hAnsi="微软雅黑" w:cs="黑体" w:hint="eastAsia"/>
          <w:color w:val="000000"/>
          <w:sz w:val="21"/>
          <w:szCs w:val="21"/>
        </w:rPr>
        <w:t>不</w:t>
      </w:r>
      <w:proofErr w:type="gramEnd"/>
      <w:r w:rsidRPr="00156362">
        <w:rPr>
          <w:rFonts w:ascii="微软雅黑" w:eastAsia="微软雅黑" w:hAnsi="微软雅黑" w:cs="黑体" w:hint="eastAsia"/>
          <w:color w:val="000000"/>
          <w:sz w:val="21"/>
          <w:szCs w:val="21"/>
        </w:rPr>
        <w:t>如实提供执行估价业务所需的估价对象权属证明、财务会计信息和其他资料的，估价机构有权依法拒绝其履行估价委托合同的要求，终止估价程序。</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虽然通常会在估价委托合同中要求委托人如实提供其知悉的估价所需资料，并保证其提供的资料是真实、完整、合法及准确的，没有隐匿或虚报的情况，甚至《资产评估法》第二</w:t>
      </w:r>
      <w:r w:rsidRPr="00156362">
        <w:rPr>
          <w:rFonts w:ascii="微软雅黑" w:eastAsia="微软雅黑" w:hAnsi="微软雅黑" w:cs="黑体" w:hint="eastAsia"/>
          <w:color w:val="000000"/>
          <w:sz w:val="21"/>
          <w:szCs w:val="21"/>
        </w:rPr>
        <w:lastRenderedPageBreak/>
        <w:t>十三条规定“委托人应当对其提供的权属证明、财务会计信息和其他资料的真实性、完整性和合法性负责”，但估价师也要合理怀疑委托人提供的资料的真实性、完整性、合法性和准确性，对其提供的资料应进行检查。</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对自己收集的资料也应进行检查。当委托人是估价对象权利人的，应查看估价对象的权属证明原件，并将复印件与原件核对，不得仅凭复印件判断或假定估价对象的权属状况。</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当为</w:t>
      </w:r>
      <w:proofErr w:type="gramStart"/>
      <w:r w:rsidRPr="00156362">
        <w:rPr>
          <w:rFonts w:ascii="微软雅黑" w:eastAsia="微软雅黑" w:hAnsi="微软雅黑" w:cs="黑体" w:hint="eastAsia"/>
          <w:color w:val="000000"/>
          <w:sz w:val="21"/>
          <w:szCs w:val="21"/>
        </w:rPr>
        <w:t>鉴证</w:t>
      </w:r>
      <w:proofErr w:type="gramEnd"/>
      <w:r w:rsidRPr="00156362">
        <w:rPr>
          <w:rFonts w:ascii="微软雅黑" w:eastAsia="微软雅黑" w:hAnsi="微软雅黑" w:cs="黑体" w:hint="eastAsia"/>
          <w:color w:val="000000"/>
          <w:sz w:val="21"/>
          <w:szCs w:val="21"/>
        </w:rPr>
        <w:t>性估价的，应依法对收集的作为估价依据的资料进行核查验证。</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资料收集后，应及时进行分析整理，以便需要时查阅和使用。</w:t>
      </w:r>
    </w:p>
    <w:p w:rsidR="004D3A0D" w:rsidRPr="00156362" w:rsidRDefault="004446B2" w:rsidP="007D35C8">
      <w:pPr>
        <w:pStyle w:val="a6"/>
        <w:widowControl/>
        <w:spacing w:before="150" w:beforeAutospacing="0" w:after="150" w:afterAutospacing="0" w:line="360" w:lineRule="auto"/>
        <w:rPr>
          <w:rFonts w:ascii="微软雅黑" w:eastAsia="微软雅黑" w:hAnsi="微软雅黑" w:cs="黑体"/>
          <w:color w:val="000000"/>
          <w:sz w:val="21"/>
          <w:szCs w:val="21"/>
        </w:rPr>
      </w:pPr>
      <w:r w:rsidRPr="00156362">
        <w:rPr>
          <w:rFonts w:ascii="微软雅黑" w:eastAsia="微软雅黑" w:hAnsi="微软雅黑" w:cs="黑体" w:hint="eastAsia"/>
          <w:color w:val="000000"/>
          <w:sz w:val="21"/>
          <w:szCs w:val="21"/>
        </w:rPr>
        <w:t xml:space="preserve">　　5.实地查勘估价对象的工作内容感受区位优劣、核对估价对象具体情况、观察估价对象内外部情况、询问、调查估价对象的历史使用状况、拍摄影像资料、调查历史使用状况、周边及当地同类房地产市场行情、补充收集资料。</w:t>
      </w:r>
    </w:p>
    <w:sectPr w:rsidR="004D3A0D" w:rsidRPr="00156362" w:rsidSect="004D3A0D">
      <w:headerReference w:type="even" r:id="rId10"/>
      <w:headerReference w:type="default" r:id="rId11"/>
      <w:footerReference w:type="default" r:id="rId12"/>
      <w:head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182D" w:rsidRDefault="0079182D" w:rsidP="004D3A0D">
      <w:r>
        <w:separator/>
      </w:r>
    </w:p>
  </w:endnote>
  <w:endnote w:type="continuationSeparator" w:id="0">
    <w:p w:rsidR="0079182D" w:rsidRDefault="0079182D" w:rsidP="004D3A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940072"/>
    </w:sdtPr>
    <w:sdtContent>
      <w:sdt>
        <w:sdtPr>
          <w:id w:val="171357217"/>
        </w:sdtPr>
        <w:sdtContent>
          <w:p w:rsidR="004D3A0D" w:rsidRDefault="004446B2">
            <w:pPr>
              <w:pStyle w:val="a4"/>
              <w:jc w:val="center"/>
              <w:rPr>
                <w:b/>
                <w:sz w:val="24"/>
                <w:szCs w:val="24"/>
              </w:rPr>
            </w:pPr>
            <w:r>
              <w:rPr>
                <w:lang w:val="zh-CN"/>
              </w:rPr>
              <w:t xml:space="preserve"> </w:t>
            </w:r>
            <w:r w:rsidR="00BF2112">
              <w:rPr>
                <w:b/>
                <w:sz w:val="24"/>
                <w:szCs w:val="24"/>
              </w:rPr>
              <w:fldChar w:fldCharType="begin"/>
            </w:r>
            <w:r>
              <w:rPr>
                <w:b/>
              </w:rPr>
              <w:instrText>PAGE</w:instrText>
            </w:r>
            <w:r w:rsidR="00BF2112">
              <w:rPr>
                <w:b/>
                <w:sz w:val="24"/>
                <w:szCs w:val="24"/>
              </w:rPr>
              <w:fldChar w:fldCharType="separate"/>
            </w:r>
            <w:r w:rsidR="00156362">
              <w:rPr>
                <w:b/>
                <w:noProof/>
              </w:rPr>
              <w:t>22</w:t>
            </w:r>
            <w:r w:rsidR="00BF2112">
              <w:rPr>
                <w:b/>
                <w:sz w:val="24"/>
                <w:szCs w:val="24"/>
              </w:rPr>
              <w:fldChar w:fldCharType="end"/>
            </w:r>
            <w:r>
              <w:rPr>
                <w:lang w:val="zh-CN"/>
              </w:rPr>
              <w:t xml:space="preserve"> / </w:t>
            </w:r>
            <w:r w:rsidR="00BF2112">
              <w:rPr>
                <w:b/>
                <w:sz w:val="24"/>
                <w:szCs w:val="24"/>
              </w:rPr>
              <w:fldChar w:fldCharType="begin"/>
            </w:r>
            <w:r>
              <w:rPr>
                <w:b/>
              </w:rPr>
              <w:instrText>NUMPAGES</w:instrText>
            </w:r>
            <w:r w:rsidR="00BF2112">
              <w:rPr>
                <w:b/>
                <w:sz w:val="24"/>
                <w:szCs w:val="24"/>
              </w:rPr>
              <w:fldChar w:fldCharType="separate"/>
            </w:r>
            <w:r w:rsidR="00156362">
              <w:rPr>
                <w:b/>
                <w:noProof/>
              </w:rPr>
              <w:t>22</w:t>
            </w:r>
            <w:r w:rsidR="00BF2112">
              <w:rPr>
                <w:b/>
                <w:sz w:val="24"/>
                <w:szCs w:val="24"/>
              </w:rPr>
              <w:fldChar w:fldCharType="end"/>
            </w:r>
          </w:p>
          <w:p w:rsidR="004D3A0D" w:rsidRDefault="004D3A0D">
            <w:pPr>
              <w:pStyle w:val="a4"/>
              <w:jc w:val="center"/>
              <w:rPr>
                <w:b/>
                <w:sz w:val="24"/>
                <w:szCs w:val="24"/>
              </w:rPr>
            </w:pPr>
          </w:p>
          <w:p w:rsidR="004D3A0D" w:rsidRDefault="004446B2">
            <w:pPr>
              <w:pStyle w:val="a4"/>
              <w:jc w:val="center"/>
            </w:pPr>
            <w:r>
              <w:rPr>
                <w:b/>
                <w:noProof/>
                <w:sz w:val="24"/>
                <w:szCs w:val="24"/>
              </w:rPr>
              <w:drawing>
                <wp:inline distT="0" distB="0" distL="0" distR="0">
                  <wp:extent cx="571500" cy="561340"/>
                  <wp:effectExtent l="19050" t="0" r="0" b="0"/>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pic:cNvPicPr>
                            <a:picLocks noChangeAspect="1" noChangeArrowheads="1"/>
                          </pic:cNvPicPr>
                        </pic:nvPicPr>
                        <pic:blipFill>
                          <a:blip r:embed="rId1"/>
                          <a:srcRect/>
                          <a:stretch>
                            <a:fillRect/>
                          </a:stretch>
                        </pic:blipFill>
                        <pic:spPr>
                          <a:xfrm>
                            <a:off x="0" y="0"/>
                            <a:ext cx="571500" cy="561385"/>
                          </a:xfrm>
                          <a:prstGeom prst="rect">
                            <a:avLst/>
                          </a:prstGeom>
                          <a:noFill/>
                          <a:ln w="9525">
                            <a:noFill/>
                            <a:miter lim="800000"/>
                            <a:headEnd/>
                            <a:tailEnd/>
                          </a:ln>
                        </pic:spPr>
                      </pic:pic>
                    </a:graphicData>
                  </a:graphic>
                </wp:inline>
              </w:drawing>
            </w:r>
          </w:p>
          <w:p w:rsidR="004D3A0D" w:rsidRDefault="004446B2">
            <w:pPr>
              <w:pStyle w:val="a4"/>
              <w:jc w:val="center"/>
            </w:pPr>
            <w:proofErr w:type="gramStart"/>
            <w:r>
              <w:rPr>
                <w:rFonts w:hint="eastAsia"/>
              </w:rPr>
              <w:t>扫码关注官网</w:t>
            </w:r>
            <w:proofErr w:type="gramEnd"/>
            <w:r>
              <w:rPr>
                <w:rFonts w:hint="eastAsia"/>
              </w:rPr>
              <w:t xml:space="preserve"> </w:t>
            </w:r>
            <w:r>
              <w:rPr>
                <w:rFonts w:hint="eastAsia"/>
              </w:rPr>
              <w:t>及时知道考试信息</w:t>
            </w:r>
          </w:p>
        </w:sdtContent>
      </w:sdt>
    </w:sdtContent>
  </w:sdt>
  <w:p w:rsidR="004D3A0D" w:rsidRDefault="004D3A0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182D" w:rsidRDefault="0079182D" w:rsidP="004D3A0D">
      <w:r>
        <w:separator/>
      </w:r>
    </w:p>
  </w:footnote>
  <w:footnote w:type="continuationSeparator" w:id="0">
    <w:p w:rsidR="0079182D" w:rsidRDefault="0079182D" w:rsidP="004D3A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A0D" w:rsidRDefault="004446B2">
    <w:pPr>
      <w:pStyle w:val="a5"/>
    </w:pPr>
    <w:r>
      <w:rPr>
        <w:noProof/>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269230" cy="6586220"/>
          <wp:effectExtent l="0" t="0" r="7620" b="5080"/>
          <wp:wrapNone/>
          <wp:docPr id="3" name="WordPictureWatermark23033985"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23033985" descr="水印 - 新logo"/>
                  <pic:cNvPicPr>
                    <a:picLocks noChangeAspect="1"/>
                  </pic:cNvPicPr>
                </pic:nvPicPr>
                <pic:blipFill>
                  <a:blip r:embed="rId1"/>
                  <a:stretch>
                    <a:fillRect/>
                  </a:stretch>
                </pic:blipFill>
                <pic:spPr>
                  <a:xfrm>
                    <a:off x="0" y="0"/>
                    <a:ext cx="5269230" cy="6586220"/>
                  </a:xfrm>
                  <a:prstGeom prst="rect">
                    <a:avLst/>
                  </a:prstGeom>
                  <a:noFill/>
                  <a:ln w="9525">
                    <a:noFill/>
                  </a:ln>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A0D" w:rsidRDefault="004446B2">
    <w:pPr>
      <w:pStyle w:val="a5"/>
      <w:jc w:val="left"/>
    </w:pPr>
    <w:r>
      <w:rPr>
        <w:noProof/>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269230" cy="6586220"/>
          <wp:effectExtent l="0" t="0" r="7620" b="5080"/>
          <wp:wrapNone/>
          <wp:docPr id="4" name="WordPictureWatermark23033986"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23033986" descr="水印 - 新logo"/>
                  <pic:cNvPicPr>
                    <a:picLocks noChangeAspect="1"/>
                  </pic:cNvPicPr>
                </pic:nvPicPr>
                <pic:blipFill>
                  <a:blip r:embed="rId1"/>
                  <a:stretch>
                    <a:fillRect/>
                  </a:stretch>
                </pic:blipFill>
                <pic:spPr>
                  <a:xfrm>
                    <a:off x="0" y="0"/>
                    <a:ext cx="5269230" cy="6586220"/>
                  </a:xfrm>
                  <a:prstGeom prst="rect">
                    <a:avLst/>
                  </a:prstGeom>
                  <a:noFill/>
                  <a:ln w="9525">
                    <a:noFill/>
                  </a:ln>
                </pic:spPr>
              </pic:pic>
            </a:graphicData>
          </a:graphic>
        </wp:anchor>
      </w:drawing>
    </w:r>
    <w:r>
      <w:rPr>
        <w:noProof/>
      </w:rPr>
      <w:drawing>
        <wp:inline distT="0" distB="0" distL="0" distR="0">
          <wp:extent cx="1476375" cy="409575"/>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
                  <a:srcRect/>
                  <a:stretch>
                    <a:fillRect/>
                  </a:stretch>
                </pic:blipFill>
                <pic:spPr>
                  <a:xfrm>
                    <a:off x="0" y="0"/>
                    <a:ext cx="1476375" cy="410104"/>
                  </a:xfrm>
                  <a:prstGeom prst="rect">
                    <a:avLst/>
                  </a:prstGeom>
                  <a:noFill/>
                  <a:ln w="9525">
                    <a:noFill/>
                    <a:miter lim="800000"/>
                    <a:headEnd/>
                    <a:tailEnd/>
                  </a:ln>
                </pic:spPr>
              </pic:pic>
            </a:graphicData>
          </a:graphic>
        </wp:inline>
      </w:drawing>
    </w:r>
    <w:r>
      <w:rPr>
        <w:rFonts w:hint="eastAsia"/>
      </w:rPr>
      <w:t xml:space="preserve">                                24</w:t>
    </w:r>
    <w:r>
      <w:rPr>
        <w:rFonts w:hint="eastAsia"/>
      </w:rPr>
      <w:t>小时报名咨询热线：</w:t>
    </w:r>
    <w:r>
      <w:t>010-82326699</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A0D" w:rsidRDefault="004446B2">
    <w:pPr>
      <w:pStyle w:val="a5"/>
    </w:pPr>
    <w:r>
      <w:rPr>
        <w:noProof/>
      </w:rP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5269230" cy="6586220"/>
          <wp:effectExtent l="0" t="0" r="7620" b="5080"/>
          <wp:wrapNone/>
          <wp:docPr id="2" name="WordPictureWatermark23033984"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23033984" descr="水印 - 新logo"/>
                  <pic:cNvPicPr>
                    <a:picLocks noChangeAspect="1"/>
                  </pic:cNvPicPr>
                </pic:nvPicPr>
                <pic:blipFill>
                  <a:blip r:embed="rId1"/>
                  <a:stretch>
                    <a:fillRect/>
                  </a:stretch>
                </pic:blipFill>
                <pic:spPr>
                  <a:xfrm>
                    <a:off x="0" y="0"/>
                    <a:ext cx="5269230" cy="6586220"/>
                  </a:xfrm>
                  <a:prstGeom prst="rect">
                    <a:avLst/>
                  </a:prstGeom>
                  <a:noFill/>
                  <a:ln w="9525">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38710CC"/>
    <w:multiLevelType w:val="singleLevel"/>
    <w:tmpl w:val="B38710CC"/>
    <w:lvl w:ilvl="0">
      <w:start w:val="1"/>
      <w:numFmt w:val="decimal"/>
      <w:lvlText w:val="%1."/>
      <w:lvlJc w:val="left"/>
      <w:pPr>
        <w:tabs>
          <w:tab w:val="left" w:pos="312"/>
        </w:tabs>
        <w:ind w:left="480" w:firstLine="0"/>
      </w:pPr>
    </w:lvl>
  </w:abstractNum>
  <w:abstractNum w:abstractNumId="1">
    <w:nsid w:val="21DEF111"/>
    <w:multiLevelType w:val="singleLevel"/>
    <w:tmpl w:val="21DEF111"/>
    <w:lvl w:ilvl="0">
      <w:start w:val="1"/>
      <w:numFmt w:val="decimal"/>
      <w:lvlText w:val="%1."/>
      <w:lvlJc w:val="left"/>
      <w:pPr>
        <w:tabs>
          <w:tab w:val="left" w:pos="312"/>
        </w:tabs>
      </w:pPr>
    </w:lvl>
  </w:abstractNum>
  <w:abstractNum w:abstractNumId="2">
    <w:nsid w:val="50CAF69F"/>
    <w:multiLevelType w:val="singleLevel"/>
    <w:tmpl w:val="50CAF69F"/>
    <w:lvl w:ilvl="0">
      <w:start w:val="1"/>
      <w:numFmt w:val="decimal"/>
      <w:lvlText w:val="%1."/>
      <w:lvlJc w:val="left"/>
      <w:pPr>
        <w:tabs>
          <w:tab w:val="left" w:pos="312"/>
        </w:tabs>
        <w:ind w:left="480" w:firstLine="0"/>
      </w:pPr>
    </w:lvl>
  </w:abstractNum>
  <w:abstractNum w:abstractNumId="3">
    <w:nsid w:val="5B97C539"/>
    <w:multiLevelType w:val="singleLevel"/>
    <w:tmpl w:val="5B97C539"/>
    <w:lvl w:ilvl="0">
      <w:start w:val="2"/>
      <w:numFmt w:val="decimal"/>
      <w:suff w:val="nothing"/>
      <w:lvlText w:val="（%1）"/>
      <w:lvlJc w:val="left"/>
      <w:pPr>
        <w:ind w:left="480" w:firstLine="0"/>
      </w:pPr>
    </w:lvl>
  </w:abstractNum>
  <w:abstractNum w:abstractNumId="4">
    <w:nsid w:val="786FCE5F"/>
    <w:multiLevelType w:val="singleLevel"/>
    <w:tmpl w:val="786FCE5F"/>
    <w:lvl w:ilvl="0">
      <w:start w:val="1"/>
      <w:numFmt w:val="decimal"/>
      <w:lvlText w:val="%1."/>
      <w:lvlJc w:val="left"/>
      <w:pPr>
        <w:tabs>
          <w:tab w:val="left" w:pos="312"/>
        </w:tabs>
        <w:ind w:left="480" w:firstLine="0"/>
      </w:p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8555E3"/>
    <w:rsid w:val="00156362"/>
    <w:rsid w:val="004446B2"/>
    <w:rsid w:val="004D3A0D"/>
    <w:rsid w:val="0079182D"/>
    <w:rsid w:val="007D35C8"/>
    <w:rsid w:val="008555E3"/>
    <w:rsid w:val="00BF2112"/>
    <w:rsid w:val="00BF37DF"/>
    <w:rsid w:val="00CD1EA8"/>
    <w:rsid w:val="00EA6440"/>
    <w:rsid w:val="00FA1F8A"/>
    <w:rsid w:val="08A159D8"/>
    <w:rsid w:val="137A6CAA"/>
    <w:rsid w:val="27FB2614"/>
    <w:rsid w:val="2ADD3575"/>
    <w:rsid w:val="2CE00D48"/>
    <w:rsid w:val="3394577A"/>
    <w:rsid w:val="3EEB540E"/>
    <w:rsid w:val="40EF4287"/>
    <w:rsid w:val="46DF5A91"/>
    <w:rsid w:val="472A46BC"/>
    <w:rsid w:val="483464AB"/>
    <w:rsid w:val="4F1B6354"/>
    <w:rsid w:val="4FA8738A"/>
    <w:rsid w:val="50F16439"/>
    <w:rsid w:val="51813C26"/>
    <w:rsid w:val="541F66CD"/>
    <w:rsid w:val="54FE03FB"/>
    <w:rsid w:val="55032C6F"/>
    <w:rsid w:val="5A8C17E0"/>
    <w:rsid w:val="5C59669C"/>
    <w:rsid w:val="60374BE2"/>
    <w:rsid w:val="63696CA7"/>
    <w:rsid w:val="6EDF3D9D"/>
    <w:rsid w:val="6FAA3F7C"/>
    <w:rsid w:val="70C93E50"/>
    <w:rsid w:val="760B7AFD"/>
    <w:rsid w:val="783B2023"/>
    <w:rsid w:val="7CEA5DB0"/>
    <w:rsid w:val="7D6549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0"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3A0D"/>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4D3A0D"/>
    <w:rPr>
      <w:sz w:val="18"/>
      <w:szCs w:val="18"/>
    </w:rPr>
  </w:style>
  <w:style w:type="paragraph" w:styleId="a4">
    <w:name w:val="footer"/>
    <w:basedOn w:val="a"/>
    <w:link w:val="Char0"/>
    <w:uiPriority w:val="99"/>
    <w:unhideWhenUsed/>
    <w:qFormat/>
    <w:rsid w:val="004D3A0D"/>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4D3A0D"/>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rsid w:val="004D3A0D"/>
    <w:pPr>
      <w:spacing w:beforeAutospacing="1" w:afterAutospacing="1"/>
      <w:jc w:val="left"/>
    </w:pPr>
    <w:rPr>
      <w:rFonts w:cs="Times New Roman"/>
      <w:kern w:val="0"/>
      <w:sz w:val="24"/>
    </w:rPr>
  </w:style>
  <w:style w:type="character" w:styleId="a7">
    <w:name w:val="Strong"/>
    <w:basedOn w:val="a0"/>
    <w:qFormat/>
    <w:rsid w:val="004D3A0D"/>
    <w:rPr>
      <w:b/>
    </w:rPr>
  </w:style>
  <w:style w:type="character" w:styleId="a8">
    <w:name w:val="Hyperlink"/>
    <w:basedOn w:val="a0"/>
    <w:uiPriority w:val="99"/>
    <w:semiHidden/>
    <w:unhideWhenUsed/>
    <w:qFormat/>
    <w:rsid w:val="004D3A0D"/>
    <w:rPr>
      <w:color w:val="0000FF"/>
      <w:u w:val="single"/>
    </w:rPr>
  </w:style>
  <w:style w:type="character" w:customStyle="1" w:styleId="Char1">
    <w:name w:val="页眉 Char"/>
    <w:basedOn w:val="a0"/>
    <w:link w:val="a5"/>
    <w:uiPriority w:val="99"/>
    <w:semiHidden/>
    <w:rsid w:val="004D3A0D"/>
    <w:rPr>
      <w:sz w:val="18"/>
      <w:szCs w:val="18"/>
    </w:rPr>
  </w:style>
  <w:style w:type="character" w:customStyle="1" w:styleId="Char0">
    <w:name w:val="页脚 Char"/>
    <w:basedOn w:val="a0"/>
    <w:link w:val="a4"/>
    <w:uiPriority w:val="99"/>
    <w:qFormat/>
    <w:rsid w:val="004D3A0D"/>
    <w:rPr>
      <w:sz w:val="18"/>
      <w:szCs w:val="18"/>
    </w:rPr>
  </w:style>
  <w:style w:type="character" w:customStyle="1" w:styleId="Char">
    <w:name w:val="批注框文本 Char"/>
    <w:basedOn w:val="a0"/>
    <w:link w:val="a3"/>
    <w:uiPriority w:val="99"/>
    <w:semiHidden/>
    <w:qFormat/>
    <w:rsid w:val="004D3A0D"/>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22</Pages>
  <Words>1419</Words>
  <Characters>8092</Characters>
  <Application>Microsoft Office Word</Application>
  <DocSecurity>0</DocSecurity>
  <Lines>67</Lines>
  <Paragraphs>18</Paragraphs>
  <ScaleCrop>false</ScaleCrop>
  <Company/>
  <LinksUpToDate>false</LinksUpToDate>
  <CharactersWithSpaces>9493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6</cp:revision>
  <dcterms:created xsi:type="dcterms:W3CDTF">2018-08-20T06:37:00Z</dcterms:created>
  <dcterms:modified xsi:type="dcterms:W3CDTF">2018-08-23T04:21:00Z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2052-11.1.0.7795</vt:lpwstr>
  </property>
</Properties>
</file>