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BD1" w:rsidRPr="0018456E" w:rsidRDefault="00E30A06" w:rsidP="0018456E">
      <w:pPr>
        <w:pStyle w:val="a6"/>
        <w:widowControl/>
        <w:spacing w:before="150" w:beforeAutospacing="0" w:after="150" w:afterAutospacing="0" w:line="360" w:lineRule="auto"/>
        <w:jc w:val="center"/>
        <w:rPr>
          <w:rStyle w:val="a7"/>
          <w:rFonts w:ascii="微软雅黑" w:eastAsia="微软雅黑" w:hAnsi="微软雅黑" w:cs="黑体"/>
          <w:b w:val="0"/>
          <w:color w:val="000000"/>
          <w:sz w:val="28"/>
          <w:szCs w:val="28"/>
        </w:rPr>
      </w:pPr>
      <w:proofErr w:type="gramStart"/>
      <w:r w:rsidRPr="0018456E">
        <w:rPr>
          <w:rStyle w:val="a7"/>
          <w:rFonts w:ascii="微软雅黑" w:eastAsia="微软雅黑" w:hAnsi="微软雅黑" w:cs="黑体" w:hint="eastAsia"/>
          <w:color w:val="000000"/>
          <w:sz w:val="28"/>
          <w:szCs w:val="28"/>
        </w:rPr>
        <w:t>房估《案例与分析》</w:t>
      </w:r>
      <w:proofErr w:type="gramEnd"/>
      <w:r w:rsidRPr="0018456E">
        <w:rPr>
          <w:rStyle w:val="a7"/>
          <w:rFonts w:ascii="微软雅黑" w:eastAsia="微软雅黑" w:hAnsi="微软雅黑" w:cs="黑体" w:hint="eastAsia"/>
          <w:color w:val="000000"/>
          <w:sz w:val="28"/>
          <w:szCs w:val="28"/>
        </w:rPr>
        <w:t>高频考点</w:t>
      </w:r>
      <w:bookmarkStart w:id="0" w:name="_GoBack"/>
      <w:bookmarkEnd w:id="0"/>
    </w:p>
    <w:p w:rsidR="00980BD1" w:rsidRPr="0018456E" w:rsidRDefault="00E30A06" w:rsidP="00481004">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18456E">
        <w:rPr>
          <w:rStyle w:val="a7"/>
          <w:rFonts w:ascii="微软雅黑" w:eastAsia="微软雅黑" w:hAnsi="微软雅黑" w:cs="黑体" w:hint="eastAsia"/>
          <w:color w:val="000000"/>
          <w:sz w:val="21"/>
          <w:szCs w:val="21"/>
        </w:rPr>
        <w:t>房估《案例与分析》</w:t>
      </w:r>
      <w:proofErr w:type="gramEnd"/>
      <w:r w:rsidRPr="0018456E">
        <w:rPr>
          <w:rStyle w:val="a7"/>
          <w:rFonts w:ascii="微软雅黑" w:eastAsia="微软雅黑" w:hAnsi="微软雅黑" w:cs="黑体" w:hint="eastAsia"/>
          <w:color w:val="000000"/>
          <w:sz w:val="21"/>
          <w:szCs w:val="21"/>
        </w:rPr>
        <w:t>高频考点（第一章）</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1.房地产估价报告的构成要素一份完整的估价报告应包括8项内容：</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（1）封面；</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（2）致估价委托人函；</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（3）目录；</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（4）估价师声明；</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（5）估价假设和限制条件；</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（6）估价结果报告；</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（7）估价技术报告；</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（8）附件。（注意致估价委托人函和目录的前后位置、是否缺项）（P5）</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2.封面包括7项内容：</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（1）估价报告名称；</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（2）估价报告编号；</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（3）估价项目名称；</w:t>
      </w:r>
    </w:p>
    <w:p w:rsidR="00980BD1" w:rsidRPr="0018456E" w:rsidRDefault="00E30A06" w:rsidP="00481004">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（4）估价委托人；</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lastRenderedPageBreak/>
        <w:t xml:space="preserve">　　（5）房地产估价机构；</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（6）</w:t>
      </w:r>
      <w:hyperlink r:id="rId8" w:tgtFrame="http://www.jianshe99.com/gujia/ziliao/_blank" w:tooltip="注册房地产估价师" w:history="1">
        <w:r w:rsidRPr="0018456E">
          <w:rPr>
            <w:rStyle w:val="a8"/>
            <w:rFonts w:ascii="微软雅黑" w:eastAsia="微软雅黑" w:hAnsi="微软雅黑" w:cs="黑体" w:hint="eastAsia"/>
            <w:color w:val="333333"/>
            <w:sz w:val="21"/>
            <w:szCs w:val="21"/>
            <w:u w:val="none"/>
          </w:rPr>
          <w:t>注册房地产估价师</w:t>
        </w:r>
      </w:hyperlink>
      <w:r w:rsidRPr="0018456E">
        <w:rPr>
          <w:rFonts w:ascii="微软雅黑" w:eastAsia="微软雅黑" w:hAnsi="微软雅黑" w:cs="黑体" w:hint="eastAsia"/>
          <w:color w:val="000000"/>
          <w:sz w:val="21"/>
          <w:szCs w:val="21"/>
        </w:rPr>
        <w:t>；</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（7）估价报告出具日期。（注意封面内容是否缺项）（P6～7）</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常见错误：</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（1）封面中缺少估价报告出具日期、注册</w:t>
      </w:r>
      <w:hyperlink r:id="rId9" w:tgtFrame="http://www.jianshe99.com/gujia/ziliao/_blank" w:tooltip="房地产估价师注册" w:history="1">
        <w:r w:rsidRPr="0018456E">
          <w:rPr>
            <w:rStyle w:val="a8"/>
            <w:rFonts w:ascii="微软雅黑" w:eastAsia="微软雅黑" w:hAnsi="微软雅黑" w:cs="黑体" w:hint="eastAsia"/>
            <w:color w:val="333333"/>
            <w:sz w:val="21"/>
            <w:szCs w:val="21"/>
            <w:u w:val="none"/>
          </w:rPr>
          <w:t>房地产估价师注册</w:t>
        </w:r>
      </w:hyperlink>
      <w:r w:rsidRPr="0018456E">
        <w:rPr>
          <w:rFonts w:ascii="微软雅黑" w:eastAsia="微软雅黑" w:hAnsi="微软雅黑" w:cs="黑体" w:hint="eastAsia"/>
          <w:color w:val="000000"/>
          <w:sz w:val="21"/>
          <w:szCs w:val="21"/>
        </w:rPr>
        <w:t>号；</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（2）封面中应是“估价报告出具日期”而不是“估价作业期”。</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3.估价报告出具日期估价报告出具日期，是指本次估价出具报告的年、月、日。需要注意的是，估价报告出具日期应与致估价委托人函中的致函日期一致。</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历年考点：封面中应是“估价报告出具日期”而不是“估价作业期”，考过两次以上。2017年改错题10分。</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八个估价时间概念的辨析：</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（1）.估价报告开始日期。指受理估价委托的日期。</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（2）.估价报告完成日期。指完成估价报告的日期或出具估价报告的日期。</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（3)估价作业日期。指从估价报告开始日期到估价报告完成日期的时间段。</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（4)价值时点。指估价结果对应的日期。</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（5)致函日期。指出具估价报告的日期或估价报告完成的日期。</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lastRenderedPageBreak/>
        <w:t xml:space="preserve">　　（6)实地查勘期。指进入估价对象现场之日起至完成实地查勘之日止。</w:t>
      </w:r>
    </w:p>
    <w:p w:rsidR="00980BD1" w:rsidRPr="0018456E" w:rsidRDefault="00E30A06" w:rsidP="00481004">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（7）.</w:t>
      </w:r>
      <w:proofErr w:type="gramStart"/>
      <w:r w:rsidRPr="0018456E">
        <w:rPr>
          <w:rFonts w:ascii="微软雅黑" w:eastAsia="微软雅黑" w:hAnsi="微软雅黑" w:cs="黑体" w:hint="eastAsia"/>
          <w:color w:val="000000"/>
          <w:sz w:val="21"/>
          <w:szCs w:val="21"/>
        </w:rPr>
        <w:t>价报告</w:t>
      </w:r>
      <w:proofErr w:type="gramEnd"/>
      <w:r w:rsidRPr="0018456E">
        <w:rPr>
          <w:rFonts w:ascii="微软雅黑" w:eastAsia="微软雅黑" w:hAnsi="微软雅黑" w:cs="黑体" w:hint="eastAsia"/>
          <w:color w:val="000000"/>
          <w:sz w:val="21"/>
          <w:szCs w:val="21"/>
        </w:rPr>
        <w:t>应用有效期。指自估价报告出具日期起算，使用估价报告不得超过的时间。</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8）.估价责任期。指出具报告的估价机构及注册房地产估价师应承担法律责任的期限。如果估价报告在其使用期限内未使用，则估价责任期等同估价报告使用期限；如果估价报告在其使用期限内使用，则估价报告责任期应到估价服务的行为结束为止。</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4.价值时点（2013教材之前写作估价时点）</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价值时点是所评估的估价项目客观合理价格或价值对应的某一特定时间，因此价值时点应根据估价目的确定，应说明所评估的估价对象价值或价格对应的时间及其确定的简要理由，价值时点应采用公历表示，宜具体到日。回顾性估价和预测性估价的价值时点在难以具体</w:t>
      </w:r>
      <w:proofErr w:type="gramStart"/>
      <w:r w:rsidRPr="0018456E">
        <w:rPr>
          <w:rFonts w:ascii="微软雅黑" w:eastAsia="微软雅黑" w:hAnsi="微软雅黑" w:cs="黑体" w:hint="eastAsia"/>
          <w:color w:val="000000"/>
          <w:sz w:val="21"/>
          <w:szCs w:val="21"/>
        </w:rPr>
        <w:t>到日且能</w:t>
      </w:r>
      <w:proofErr w:type="gramEnd"/>
      <w:r w:rsidRPr="0018456E">
        <w:rPr>
          <w:rFonts w:ascii="微软雅黑" w:eastAsia="微软雅黑" w:hAnsi="微软雅黑" w:cs="黑体" w:hint="eastAsia"/>
          <w:color w:val="000000"/>
          <w:sz w:val="21"/>
          <w:szCs w:val="21"/>
        </w:rPr>
        <w:t>满足估价目的需要的情况下，可到周或旬、月、季、半年、年等。</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在案例考试中，从2011年理论教材要求说明价值时点确定的理由，价值时点中没有说明“价值时点的确定理由”可作为一处错误予以指出。</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对于抵押目的估价，价值时点一般应选定为估价人员实地查勘现场之日，如不是实地查勘之日，还要在估价假设与限制条件中说明一下。</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被征收房屋价值时点为“房屋征收决定公告之日”。</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往年考题：价值时间，近年考题缺少确定理由</w:t>
      </w:r>
    </w:p>
    <w:p w:rsidR="00980BD1" w:rsidRPr="0018456E" w:rsidRDefault="00E30A06" w:rsidP="00481004">
      <w:pPr>
        <w:pStyle w:val="a6"/>
        <w:widowControl/>
        <w:numPr>
          <w:ilvl w:val="0"/>
          <w:numId w:val="1"/>
        </w:numPr>
        <w:spacing w:before="150" w:beforeAutospacing="0" w:after="150" w:afterAutospacing="0" w:line="360" w:lineRule="auto"/>
        <w:rPr>
          <w:rFonts w:ascii="微软雅黑" w:eastAsia="微软雅黑" w:hAnsi="微软雅黑" w:cs="黑体"/>
          <w:color w:val="000000"/>
          <w:sz w:val="21"/>
          <w:szCs w:val="21"/>
        </w:rPr>
      </w:pPr>
      <w:proofErr w:type="gramStart"/>
      <w:r w:rsidRPr="0018456E">
        <w:rPr>
          <w:rFonts w:ascii="微软雅黑" w:eastAsia="微软雅黑" w:hAnsi="微软雅黑" w:cs="黑体" w:hint="eastAsia"/>
          <w:color w:val="000000"/>
          <w:sz w:val="21"/>
          <w:szCs w:val="21"/>
        </w:rPr>
        <w:lastRenderedPageBreak/>
        <w:t>估价原则估价原则</w:t>
      </w:r>
      <w:proofErr w:type="gramEnd"/>
      <w:r w:rsidRPr="0018456E">
        <w:rPr>
          <w:rFonts w:ascii="微软雅黑" w:eastAsia="微软雅黑" w:hAnsi="微软雅黑" w:cs="黑体" w:hint="eastAsia"/>
          <w:color w:val="000000"/>
          <w:sz w:val="21"/>
          <w:szCs w:val="21"/>
        </w:rPr>
        <w:t>是估价活动所依据的法则或标准，估价报告应说明本次估价所遵循的估价原则的名称、定义或内涵。房地产估价应遵循独立、客观、公正原则；合法原则；价值时点原则；替代原则；最高</w:t>
      </w:r>
      <w:proofErr w:type="gramStart"/>
      <w:r w:rsidRPr="0018456E">
        <w:rPr>
          <w:rFonts w:ascii="微软雅黑" w:eastAsia="微软雅黑" w:hAnsi="微软雅黑" w:cs="黑体" w:hint="eastAsia"/>
          <w:color w:val="000000"/>
          <w:sz w:val="21"/>
          <w:szCs w:val="21"/>
        </w:rPr>
        <w:t>最佳利用</w:t>
      </w:r>
      <w:proofErr w:type="gramEnd"/>
      <w:r w:rsidRPr="0018456E">
        <w:rPr>
          <w:rFonts w:ascii="微软雅黑" w:eastAsia="微软雅黑" w:hAnsi="微软雅黑" w:cs="黑体" w:hint="eastAsia"/>
          <w:color w:val="000000"/>
          <w:sz w:val="21"/>
          <w:szCs w:val="21"/>
        </w:rPr>
        <w:t>原则。</w:t>
      </w:r>
    </w:p>
    <w:p w:rsidR="00980BD1" w:rsidRPr="0018456E" w:rsidRDefault="00E30A06" w:rsidP="00481004">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房地产的抵押价值和抵押净值评估，除应遵循市场价值评估的原则外，还应遵循谨慎原则。房地产的投资价值、现状价值等其他价值或价格评估，应根据估价目的和价值类型，从市场价值评估的原则中选择适用的原则，并可增加其他适用的原则。</w:t>
      </w:r>
    </w:p>
    <w:p w:rsidR="00481004" w:rsidRPr="0018456E" w:rsidRDefault="00481004" w:rsidP="00481004">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p>
    <w:p w:rsidR="00980BD1" w:rsidRPr="0018456E" w:rsidRDefault="00E30A06" w:rsidP="00481004">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18456E">
        <w:rPr>
          <w:rStyle w:val="a7"/>
          <w:rFonts w:ascii="微软雅黑" w:eastAsia="微软雅黑" w:hAnsi="微软雅黑" w:cs="黑体" w:hint="eastAsia"/>
          <w:color w:val="000000"/>
          <w:sz w:val="21"/>
          <w:szCs w:val="21"/>
        </w:rPr>
        <w:t>房估《案例与分析》</w:t>
      </w:r>
      <w:proofErr w:type="gramEnd"/>
      <w:r w:rsidRPr="0018456E">
        <w:rPr>
          <w:rStyle w:val="a7"/>
          <w:rFonts w:ascii="微软雅黑" w:eastAsia="微软雅黑" w:hAnsi="微软雅黑" w:cs="黑体" w:hint="eastAsia"/>
          <w:color w:val="000000"/>
          <w:sz w:val="21"/>
          <w:szCs w:val="21"/>
        </w:rPr>
        <w:t>高频考点（第二章）</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1.居住房地产估价（P87）</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单套住宅常采用比较法估价。对整幢住宅楼估价时，通常采用从个体到整体的估价思路，选取与估价对象类似的交易实例，利用比较法修正测算该套住宅的价格，然后采用类比法，经过楼层、朝向、景观、建筑面积、户型等因素的修正，得出各层、各幢住宅楼的整体价格。</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房改房、经济适用房估价要考虑土地出让金或土地收益的扣除问题。利用比较法估价时，先估算估价对象的市场价值，再扣除应缴纳的土地使用权出让金或土地收益。利用成本法估价时，估价对象的价格构成中应不包括土地使用权出让金。</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2.居住房地产估价的常用方法居住房地产估价可以选择比较法、成本法、收益法等。</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1.比较法</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lastRenderedPageBreak/>
        <w:t xml:space="preserve">　　由于居住房地产交易较频繁、交易量较大，很容易获取交易实例，因此比较法是居住房地产估价最常用的方法，主要用于各种类型的商品房、房改房、经济适用住房转让价格、抵押价格、征收补偿价格等的估价，也可用于为商品房预售价格定位而进行的估价。</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2.成本法</w:t>
      </w:r>
    </w:p>
    <w:p w:rsidR="00980BD1" w:rsidRPr="0018456E" w:rsidRDefault="00E30A06" w:rsidP="00481004">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成本法也常用于居住房地产估价，在居住房地产的抵押价值估价时，出于安全、保守的考虑常会用到成本法，此外居住房地产的征收估价以及在建工程的估价往往也选用成本法。</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3.收益法</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采用收益法对居住房地产估价相对较少，主要用于出租型住宅或公寓等居住房地产。</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3.环境状况描述</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（1）自然环境：周边主要为商业街和住宅小区，靠近××公园及××江，自然环境较好。</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（2）人文环境：周边主要为商业街和住宅小区，人文环境一般。</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（3）景观：周边有××公园等，估价对象</w:t>
      </w:r>
      <w:proofErr w:type="gramStart"/>
      <w:r w:rsidRPr="0018456E">
        <w:rPr>
          <w:rFonts w:ascii="微软雅黑" w:eastAsia="微软雅黑" w:hAnsi="微软雅黑" w:cs="黑体" w:hint="eastAsia"/>
          <w:color w:val="000000"/>
          <w:sz w:val="21"/>
          <w:szCs w:val="21"/>
        </w:rPr>
        <w:t>望小区</w:t>
      </w:r>
      <w:proofErr w:type="gramEnd"/>
      <w:r w:rsidRPr="0018456E">
        <w:rPr>
          <w:rFonts w:ascii="微软雅黑" w:eastAsia="微软雅黑" w:hAnsi="微软雅黑" w:cs="黑体" w:hint="eastAsia"/>
          <w:color w:val="000000"/>
          <w:sz w:val="21"/>
          <w:szCs w:val="21"/>
        </w:rPr>
        <w:t>内街，景观一般。</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4.特殊用途房地产估价</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停车库估价方法主要有比较法、收益法和成本法。停车库估价方法的选择，首先应该重点考虑其权属状况，判断其是否属于经营性房地产；其次，应考察周边类似房地产的租售情况，以此来决定采用何种估价方法。（P181）</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lastRenderedPageBreak/>
        <w:t xml:space="preserve">　　（2）加油站房地产一般采用收益法进行估价，采用收益法评估加油站房地产价格时，关键是净收益的测算，加油站的营业利润中包括了房地产产生的收益、正常经营的商业利润和成品油特许经营权的超额利润，因此，应在净收益中扣除正常经营的商业利润和成品油特许经营权的超额利润。（P183）</w:t>
      </w:r>
    </w:p>
    <w:p w:rsidR="00980BD1" w:rsidRPr="0018456E" w:rsidRDefault="00980BD1" w:rsidP="00481004">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p>
    <w:p w:rsidR="00980BD1" w:rsidRPr="0018456E" w:rsidRDefault="00E30A06" w:rsidP="00481004">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18456E">
        <w:rPr>
          <w:rStyle w:val="a7"/>
          <w:rFonts w:ascii="微软雅黑" w:eastAsia="微软雅黑" w:hAnsi="微软雅黑" w:cs="黑体" w:hint="eastAsia"/>
          <w:color w:val="000000"/>
          <w:sz w:val="21"/>
          <w:szCs w:val="21"/>
        </w:rPr>
        <w:t>房估《案例与分析》</w:t>
      </w:r>
      <w:proofErr w:type="gramEnd"/>
      <w:r w:rsidRPr="0018456E">
        <w:rPr>
          <w:rStyle w:val="a7"/>
          <w:rFonts w:ascii="微软雅黑" w:eastAsia="微软雅黑" w:hAnsi="微软雅黑" w:cs="黑体" w:hint="eastAsia"/>
          <w:color w:val="000000"/>
          <w:sz w:val="21"/>
          <w:szCs w:val="21"/>
        </w:rPr>
        <w:t>高频考点（第三章）</w:t>
      </w:r>
    </w:p>
    <w:p w:rsidR="00980BD1" w:rsidRPr="0018456E" w:rsidRDefault="00E30A06" w:rsidP="00481004">
      <w:pPr>
        <w:pStyle w:val="a6"/>
        <w:widowControl/>
        <w:numPr>
          <w:ilvl w:val="0"/>
          <w:numId w:val="2"/>
        </w:numPr>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房地产转让估价的特点房地产市场转让非常普遍，主要涉及单纯土地的买卖、交换；土地及地上建筑物的整体买卖、交换；零星单套或多套商品房地产的买卖、交换、赠与等。房地产转让估价特点主要表现为：</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（1）从价值时点上看，房地产转让估价多数是在转让前进行的，价值时点则在估价作业日期之后。</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（2）从委托人和估价主体上讲，房地产转让估价可以委托社会上任何一家值得委托人信任的评估机构评估，委托人既可能是买方和卖方单独委托，也可能是买卖双方共同委托，这是一种自愿的行为。</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3）从估价目的和要求上讲，房地产转让评估只是为了了解、掌握房地产交易行情而进行的评估，其目的只是为了在进行房地产交易时有一个参考价格，它带有一种咨询性。如买方需要了解购买一宗房地产时，可能实现的最低价格，而卖方则需要了解出售房地产时可能实现的最高价格。</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lastRenderedPageBreak/>
        <w:t xml:space="preserve">　　作为评估机构，对该宗房地产进行估价时，其估价结果可能有一定摆动幅度的价格区间，估价人只对估价信息和结论合乎估价技术规范和职业规范负责，而对房地产转让定价决策不负直接责任。</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2.房地产转让估价（P199～200）</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（1）房地产转让估价，应区分转让人需要的估价和受让人需要的估价，并应根据估价委托人的具体需要，评估市场价值或投资价值、卖方要价、买方出价、买卖双方协议价等。</w:t>
      </w:r>
    </w:p>
    <w:p w:rsidR="00980BD1" w:rsidRPr="0018456E" w:rsidRDefault="00E30A06" w:rsidP="00481004">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2）已出租的房地产转让估价，应评估出租人权益价值；转让人书面设定或转让人与受让人书面约定依法将原有的租赁关系解除后进行转让的，可另行评估无租约限制价值，并应在估价报告中同时说明出租人权益价值和无租约限制价值及无租约限制价值的使用条件。</w:t>
      </w:r>
    </w:p>
    <w:p w:rsidR="00980BD1" w:rsidRPr="0018456E" w:rsidRDefault="00E30A06" w:rsidP="00481004">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3）以划拨方式取得建设用地使用权的房地产转让估价，估价对象应符合法律、法规规定的转让条件，并应根据国家和估价对象所在地的土地收益处理规定，给出需要缴纳的出让金等费用或转让价格中所含的土地收益。</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3.房地产拍卖、变卖估价（P269～270）</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（1）评估价值的影响因素应包括拍卖房地产的瑕疵，但不应包括拍卖房地产被查封及拍卖房地产上原有的担保物权和其他优先受偿权；</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（2）人民法院书面说明依法将拍卖房地产上原有的租赁权和用益物权除去后进行拍卖的，评估价值的影响因素不应包括拍卖房地产上原有的租赁权和用益物权；</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lastRenderedPageBreak/>
        <w:t xml:space="preserve">　　（3）当拍卖房地产为待开发房地产且采用假设开发法的，应选择被迫转让开发前提进行估价。</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（4）房地产拍卖、变卖估价只需评估估价对象在正常市场的价格水平，拍卖保留价由人民法院参考评估价确定。</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4.价值类型房地产抵押估价目的统一表述为：抵押价值是估价对象假定未设立法定优先受偿权下的价值减去</w:t>
      </w:r>
      <w:hyperlink r:id="rId10" w:tgtFrame="http://www.jianshe99.com/gujia/ziliao/_blank" w:tooltip="注册房地产估价师" w:history="1">
        <w:r w:rsidRPr="0018456E">
          <w:rPr>
            <w:rStyle w:val="a8"/>
            <w:rFonts w:ascii="微软雅黑" w:eastAsia="微软雅黑" w:hAnsi="微软雅黑" w:cs="黑体" w:hint="eastAsia"/>
            <w:color w:val="333333"/>
            <w:sz w:val="21"/>
            <w:szCs w:val="21"/>
            <w:u w:val="none"/>
          </w:rPr>
          <w:t>注册房地产估价师</w:t>
        </w:r>
      </w:hyperlink>
      <w:r w:rsidRPr="0018456E">
        <w:rPr>
          <w:rFonts w:ascii="微软雅黑" w:eastAsia="微软雅黑" w:hAnsi="微软雅黑" w:cs="黑体" w:hint="eastAsia"/>
          <w:color w:val="000000"/>
          <w:sz w:val="21"/>
          <w:szCs w:val="21"/>
        </w:rPr>
        <w:t>知悉的法定优先受偿款后的价值。</w:t>
      </w:r>
    </w:p>
    <w:p w:rsidR="00980BD1" w:rsidRPr="0018456E" w:rsidRDefault="00E30A06" w:rsidP="00481004">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未设定法定优先受偿权下的价值是估价对象经适当营销后，由熟悉情况、谨慎行事且不受强迫的交易双方，以公平交易方式在价值时点自愿进行交易的金额。</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法定优先受偿款是指假定在价值时点实现抵押权时，已存在的依法优先于本次抵押贷款受偿的款额，包括已抵押担保的债权数额、发包人拖欠承包人的建设工程价款、其他法定优先受偿款。</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5.估价中的谨慎原则选用估价方法时，尽量将成本法作为一种方法，尤其是收益性房地产的收益价格较高时，应使</w:t>
      </w:r>
      <w:proofErr w:type="gramStart"/>
      <w:r w:rsidRPr="0018456E">
        <w:rPr>
          <w:rFonts w:ascii="微软雅黑" w:eastAsia="微软雅黑" w:hAnsi="微软雅黑" w:cs="黑体" w:hint="eastAsia"/>
          <w:color w:val="000000"/>
          <w:sz w:val="21"/>
          <w:szCs w:val="21"/>
        </w:rPr>
        <w:t>积算价格</w:t>
      </w:r>
      <w:proofErr w:type="gramEnd"/>
      <w:r w:rsidRPr="0018456E">
        <w:rPr>
          <w:rFonts w:ascii="微软雅黑" w:eastAsia="微软雅黑" w:hAnsi="微软雅黑" w:cs="黑体" w:hint="eastAsia"/>
          <w:color w:val="000000"/>
          <w:sz w:val="21"/>
          <w:szCs w:val="21"/>
        </w:rPr>
        <w:t>成为收益价格的补充；在有价无市或存在长期低（偏离市场）租金租约的房地产，则应更加重视收益价格。</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确定估价结果时采用两种方法估价结果的简单平均值还是加权平均值，应根据市场情况决定，一般选用简单平均值。</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lastRenderedPageBreak/>
        <w:t xml:space="preserve">　　在估价中选取可比实例、确定修正系数；预测未来现金流、确定报酬率；预测未来开发完成后价值、折现率、续建费用；确定地价水平、基准地价修正系数、开发建造成本费用、利润率、成新率等时，保持客观、谨慎的尺度，使估价结果客观、公正、合理。</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在运用比较法估价时，</w:t>
      </w:r>
      <w:proofErr w:type="gramStart"/>
      <w:r w:rsidRPr="0018456E">
        <w:rPr>
          <w:rFonts w:ascii="微软雅黑" w:eastAsia="微软雅黑" w:hAnsi="微软雅黑" w:cs="黑体" w:hint="eastAsia"/>
          <w:color w:val="000000"/>
          <w:sz w:val="21"/>
          <w:szCs w:val="21"/>
        </w:rPr>
        <w:t>不</w:t>
      </w:r>
      <w:proofErr w:type="gramEnd"/>
      <w:r w:rsidRPr="0018456E">
        <w:rPr>
          <w:rFonts w:ascii="微软雅黑" w:eastAsia="微软雅黑" w:hAnsi="微软雅黑" w:cs="黑体" w:hint="eastAsia"/>
          <w:color w:val="000000"/>
          <w:sz w:val="21"/>
          <w:szCs w:val="21"/>
        </w:rPr>
        <w:t>应选</w:t>
      </w:r>
      <w:proofErr w:type="gramStart"/>
      <w:r w:rsidRPr="0018456E">
        <w:rPr>
          <w:rFonts w:ascii="微软雅黑" w:eastAsia="微软雅黑" w:hAnsi="微软雅黑" w:cs="黑体" w:hint="eastAsia"/>
          <w:color w:val="000000"/>
          <w:sz w:val="21"/>
          <w:szCs w:val="21"/>
        </w:rPr>
        <w:t>取成交</w:t>
      </w:r>
      <w:proofErr w:type="gramEnd"/>
      <w:r w:rsidRPr="0018456E">
        <w:rPr>
          <w:rFonts w:ascii="微软雅黑" w:eastAsia="微软雅黑" w:hAnsi="微软雅黑" w:cs="黑体" w:hint="eastAsia"/>
          <w:color w:val="000000"/>
          <w:sz w:val="21"/>
          <w:szCs w:val="21"/>
        </w:rPr>
        <w:t>价格明显高于市场价格的交易实例作为可比实例，并应当对可比实例进行必要的实地查勘。</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在运用成本法估价时，不应高估土地取得成本、开发成本、有关费税和利润，不应低估折旧。</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在运用收益法估价时，不应高估收入或者低估运营费用，选取的报酬率不应偏低。</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在运用假设开发法估价时，不应高估未来开发完成后的价值，不应低估开发成本、有关费税和利润。</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sz w:val="21"/>
          <w:szCs w:val="21"/>
        </w:rPr>
      </w:pPr>
      <w:r w:rsidRPr="0018456E">
        <w:rPr>
          <w:rFonts w:ascii="微软雅黑" w:eastAsia="微软雅黑" w:hAnsi="微软雅黑" w:cs="黑体" w:hint="eastAsia"/>
          <w:color w:val="000000"/>
          <w:sz w:val="21"/>
          <w:szCs w:val="21"/>
        </w:rPr>
        <w:t xml:space="preserve">　　房地产估价行业组织已公布报酬率、利润率等估价参数值的，应当优先选用；不选用的，应当在估价报告中说明理由。</w:t>
      </w:r>
    </w:p>
    <w:p w:rsidR="00980BD1" w:rsidRPr="0018456E" w:rsidRDefault="00980BD1" w:rsidP="00481004">
      <w:pPr>
        <w:spacing w:line="360" w:lineRule="auto"/>
        <w:rPr>
          <w:rFonts w:ascii="微软雅黑" w:eastAsia="微软雅黑" w:hAnsi="微软雅黑"/>
          <w:szCs w:val="21"/>
        </w:rPr>
      </w:pPr>
    </w:p>
    <w:p w:rsidR="00980BD1" w:rsidRPr="0018456E" w:rsidRDefault="00980BD1" w:rsidP="00481004">
      <w:pPr>
        <w:spacing w:line="360" w:lineRule="auto"/>
        <w:rPr>
          <w:rFonts w:ascii="微软雅黑" w:eastAsia="微软雅黑" w:hAnsi="微软雅黑"/>
          <w:szCs w:val="21"/>
        </w:rPr>
      </w:pPr>
    </w:p>
    <w:p w:rsidR="00481004" w:rsidRPr="0018456E" w:rsidRDefault="00481004" w:rsidP="00481004">
      <w:pPr>
        <w:spacing w:line="360" w:lineRule="auto"/>
        <w:rPr>
          <w:rFonts w:ascii="微软雅黑" w:eastAsia="微软雅黑" w:hAnsi="微软雅黑"/>
          <w:szCs w:val="21"/>
        </w:rPr>
      </w:pPr>
    </w:p>
    <w:p w:rsidR="00980BD1" w:rsidRPr="0018456E" w:rsidRDefault="00E30A06" w:rsidP="00481004">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18456E">
        <w:rPr>
          <w:rStyle w:val="a7"/>
          <w:rFonts w:ascii="微软雅黑" w:eastAsia="微软雅黑" w:hAnsi="微软雅黑" w:cs="黑体" w:hint="eastAsia"/>
          <w:color w:val="000000"/>
          <w:sz w:val="21"/>
          <w:szCs w:val="21"/>
        </w:rPr>
        <w:t>房估《案例与分析》</w:t>
      </w:r>
      <w:proofErr w:type="gramEnd"/>
      <w:r w:rsidRPr="0018456E">
        <w:rPr>
          <w:rStyle w:val="a7"/>
          <w:rFonts w:ascii="微软雅黑" w:eastAsia="微软雅黑" w:hAnsi="微软雅黑" w:cs="黑体" w:hint="eastAsia"/>
          <w:color w:val="000000"/>
          <w:sz w:val="21"/>
          <w:szCs w:val="21"/>
        </w:rPr>
        <w:t>高频考点（第四章）</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1.估价结果报告可能出现的错误</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lastRenderedPageBreak/>
        <w:t xml:space="preserve">　　（1）“估价委托人”可能出现的错误委托单位全称、法定代表人和住所，个人委托的为个人姓名和住址。</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（2）“房地产估价机构”可能出现的错误——表述不正确或不完整估价机构全称、法定代表人、住所、法定代表人或执行合伙人姓名、资质等级和资质证书编号。</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3）“估价目的”可能出现的错误——表述不准确（4）“估价对象”可能出现的错误——估价对象概述缺失、描述不清楚（5）“价值时点”可能出现的错误价值时点表述不正确、价值时点与报告中时间不吻合、价值时点确定缺乏理由、特别注意抵押估价和征收估价价值时点的确定（抵押估价价值时点原则上为完成估价对象实地查勘之日，征收估价价值时点为房屋征收决定公告之日）。</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（6）“价值类型”可能出现的错误——表述不规范、不全面、不正确。</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抵押估价：为确定房地产抵押贷款额度提供参考依据而评估房地产抵押价值。</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征收估价：为房屋征收部门与被征收人确定被征收房屋价值的补偿提供依据，评估被征收房屋的价值。</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（7）“估价原则”可能出现的错误缺少某项原则或添加不必要原则，如抵押估价缺少“谨慎”原则，非抵押估价原则不必考虑谨慎原则。</w:t>
      </w:r>
    </w:p>
    <w:p w:rsidR="00980BD1" w:rsidRPr="0018456E" w:rsidRDefault="00E30A06" w:rsidP="00481004">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（8）“估价依据”可能出现的错误如：征收估价缺少《国有土地上房屋征收与补偿条例》、《国有土地上房屋征收评估办法》；</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lastRenderedPageBreak/>
        <w:t xml:space="preserve">　　抵押估价缺少《中华人民共和国担保法》、《城市房地产抵押管理办法》、《房地产抵押估价指导意见》。</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9）“估价结果”可能出现的错误评估结果没有说明币种、没有大写、缺少单价或总价，没有写明估价结果所对应的价值时点；抵押估价没有披露三个价值（假定未设立法定优先受偿权利下的市场价值、房地产估价师所知悉的法定优先受偿款、抵押价值）。</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（10）“</w:t>
      </w:r>
      <w:hyperlink r:id="rId11" w:tgtFrame="http://www.jianshe99.com/gujia/ziliao/_blank" w:tooltip="注册房地产估价师" w:history="1">
        <w:r w:rsidRPr="0018456E">
          <w:rPr>
            <w:rStyle w:val="a8"/>
            <w:rFonts w:ascii="微软雅黑" w:eastAsia="微软雅黑" w:hAnsi="微软雅黑" w:cs="黑体" w:hint="eastAsia"/>
            <w:color w:val="333333"/>
            <w:sz w:val="21"/>
            <w:szCs w:val="21"/>
            <w:u w:val="none"/>
          </w:rPr>
          <w:t>注册房地产估价师</w:t>
        </w:r>
      </w:hyperlink>
      <w:r w:rsidRPr="0018456E">
        <w:rPr>
          <w:rFonts w:ascii="微软雅黑" w:eastAsia="微软雅黑" w:hAnsi="微软雅黑" w:cs="黑体" w:hint="eastAsia"/>
          <w:color w:val="000000"/>
          <w:sz w:val="21"/>
          <w:szCs w:val="21"/>
        </w:rPr>
        <w:t>”可能出现的错误——不得以签章代替签字。</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（11）“实地查勘期、估价作业期”可能出现的错误——现场查勘不在估价作业期内没有说明理由。</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2.宏观环境分析</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（1）宏观经济和社会发展状况。分析宏观经济的运行情况以及社会发展现 状，确定当前的经济和社会发展水平是否能够支持酒店项目的开发，是否能够满足酒店未来盈利的需要。该部分主要包括四个方面的内容：①城市概况，主要分析与酒店业发展紧密相关的方面，主要包括独具特色的历史和文化、城市的交通概况、城市具有的旅游资源和举办的会议、展览、体育赛事等情况；②城市经济地位；③经济发展状况，特别应着眼于第三产业的分析，包括城市每年接待的旅游人口规模及其变动趋势、旅游业的总体收入、购买力等；④社会发展状况。</w:t>
      </w:r>
    </w:p>
    <w:p w:rsidR="00980BD1" w:rsidRPr="0018456E" w:rsidRDefault="00E30A06" w:rsidP="00481004">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lastRenderedPageBreak/>
        <w:t>（2）城市的功能定位和规划。城市功能定位主要包括城市总体功能定位，城市经济、人口发展目标，城市主导产业及发展方向，城市产业结构与组织结构；城市规划主要包括城市总体规划、分区规划、城市的交通规划、其他与酒店业发展相关的规划等。</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3.房地产贷款项目评估的含义房地产贷款项目评估是在房地产开发企业为房地产开发项目向银行、信托公司、投资基金等金融机构进行融资时，金融机构委托评估咨询机构或自行对借贷企业及开发项目进行全面调查、分析、测算、评价的一项贷前评审的专业服务活动。一般均形成书面报告，作为房地产开发贷款评审的重要依据。接受房地产开发企业或其他投资者委托，为其投资项目的决策进行科学论证而做的项目评估，与贷款项目评估的关注点略有不同。</w:t>
      </w:r>
    </w:p>
    <w:p w:rsidR="00980BD1" w:rsidRPr="0018456E" w:rsidRDefault="00980BD1" w:rsidP="00481004">
      <w:pPr>
        <w:spacing w:line="360" w:lineRule="auto"/>
        <w:rPr>
          <w:rFonts w:ascii="微软雅黑" w:eastAsia="微软雅黑" w:hAnsi="微软雅黑" w:cs="黑体"/>
          <w:szCs w:val="21"/>
        </w:rPr>
      </w:pPr>
    </w:p>
    <w:p w:rsidR="00980BD1" w:rsidRPr="0018456E" w:rsidRDefault="00E30A06" w:rsidP="00481004">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18456E">
        <w:rPr>
          <w:rStyle w:val="a7"/>
          <w:rFonts w:ascii="微软雅黑" w:eastAsia="微软雅黑" w:hAnsi="微软雅黑" w:cs="黑体" w:hint="eastAsia"/>
          <w:color w:val="000000"/>
          <w:sz w:val="21"/>
          <w:szCs w:val="21"/>
        </w:rPr>
        <w:t>房估《案例与分析》</w:t>
      </w:r>
      <w:proofErr w:type="gramEnd"/>
      <w:r w:rsidRPr="0018456E">
        <w:rPr>
          <w:rStyle w:val="a7"/>
          <w:rFonts w:ascii="微软雅黑" w:eastAsia="微软雅黑" w:hAnsi="微软雅黑" w:cs="黑体" w:hint="eastAsia"/>
          <w:color w:val="000000"/>
          <w:sz w:val="21"/>
          <w:szCs w:val="21"/>
        </w:rPr>
        <w:t>高频考点（第五章）</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1.运用假设开发法可能出现的错误——（适用于有投资开发和再开发潜力的房地产）</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（1）估价前提假设开发法估价前提有三种：业主自行开发前提、自愿转让开发前提、被迫转让开发前提，抵押估价和司法拍卖估价，一般采用“被迫转让前提”，未说明估价前提的算错误。</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计算公式出现漏项或增项错误房地产价值＝开发完成后的价值－后续开发的必要支出及应得利润后续必要支出及应得利润＝取得税费＋后续建设成本＋后续管理费用＋后续销售费用＋后续投资利息＋后续销售税费＋后续开发利润</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lastRenderedPageBreak/>
        <w:t xml:space="preserve">　　（3）对开发完成后的价值以及后续的建设成本、管理费用、销售费用、销售税费等的测算在动态分析法中，预测它们未来发生的时间以及在未来发生时的金额，即要进行动态预测，记得要折现到价值时点。</w:t>
      </w:r>
    </w:p>
    <w:p w:rsidR="00980BD1" w:rsidRPr="0018456E" w:rsidRDefault="00E30A06" w:rsidP="00481004">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（4）在静态方法中投资利息和开发利润都单独计算。</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（5）动态分析法要求折现率既包含安全收益部分（通常的利率），又包含风险收益部分（利润率）。</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（6）估算开发总价值若用比较法确定，比较过程中应有相当的说明。</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若用收益法要注意常见的问题：假设开发的方式一要合法，二要最高最佳使用。</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开发完成后的价值不能采用成本法来求取。</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（7）后续开发经营</w:t>
      </w:r>
      <w:proofErr w:type="gramStart"/>
      <w:r w:rsidRPr="0018456E">
        <w:rPr>
          <w:rFonts w:ascii="微软雅黑" w:eastAsia="微软雅黑" w:hAnsi="微软雅黑" w:cs="黑体" w:hint="eastAsia"/>
          <w:color w:val="000000"/>
          <w:sz w:val="21"/>
          <w:szCs w:val="21"/>
        </w:rPr>
        <w:t>期开发</w:t>
      </w:r>
      <w:proofErr w:type="gramEnd"/>
      <w:r w:rsidRPr="0018456E">
        <w:rPr>
          <w:rFonts w:ascii="微软雅黑" w:eastAsia="微软雅黑" w:hAnsi="微软雅黑" w:cs="黑体" w:hint="eastAsia"/>
          <w:color w:val="000000"/>
          <w:sz w:val="21"/>
          <w:szCs w:val="21"/>
        </w:rPr>
        <w:t>经营期的起点是（假设）取得估价对象（待开发房地产）的日期（即价值时点），终点是开发完成后的房地产经营结束的日期。</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（8）开发完成后的价值开发完成后的价值，是指开发完成后的房地产状况所对应的价值。</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注意开发完成后的房地产状况并不总是纯粹的房地产，还可能包含着房地产以外的动产、权利等。特别是开发完成后的房地产为宾馆、影剧院、高尔夫球场、汽车加油站这类收益性房地产，其状况通常是“以房地产为主的整体资产”，此时，预测的开发完成后的价值还应包括家具设备等房地产以外财产的价值。</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lastRenderedPageBreak/>
        <w:t xml:space="preserve">　　对于开发完成后的房地产适宜销售的，通常是预测它在开发完成之时的房地产市场状况下的价值；但当房地产市场较好而适宜预售的，则是预测它在预售时的房地产市场状况下的价值；当房地产市场不好而需要延迟销售的，则是预测它在延迟销售时的房地产市场状况下的价值。</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w:t>
      </w:r>
      <w:proofErr w:type="gramStart"/>
      <w:r w:rsidRPr="0018456E">
        <w:rPr>
          <w:rFonts w:ascii="微软雅黑" w:eastAsia="微软雅黑" w:hAnsi="微软雅黑" w:cs="黑体" w:hint="eastAsia"/>
          <w:color w:val="000000"/>
          <w:sz w:val="21"/>
          <w:szCs w:val="21"/>
        </w:rPr>
        <w:t>个</w:t>
      </w:r>
      <w:proofErr w:type="gramEnd"/>
      <w:r w:rsidRPr="0018456E">
        <w:rPr>
          <w:rFonts w:ascii="微软雅黑" w:eastAsia="微软雅黑" w:hAnsi="微软雅黑" w:cs="黑体" w:hint="eastAsia"/>
          <w:color w:val="000000"/>
          <w:sz w:val="21"/>
          <w:szCs w:val="21"/>
        </w:rPr>
        <w:t>方法特别注意的知识储备</w:t>
      </w:r>
    </w:p>
    <w:p w:rsidR="00980BD1" w:rsidRPr="0018456E" w:rsidRDefault="00E30A06" w:rsidP="00481004">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（1）比较法注意估价对象与可比实例的可比性，3个修正系数的具体内涵、修正公式。</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（2）收益</w:t>
      </w:r>
      <w:proofErr w:type="gramStart"/>
      <w:r w:rsidRPr="0018456E">
        <w:rPr>
          <w:rFonts w:ascii="微软雅黑" w:eastAsia="微软雅黑" w:hAnsi="微软雅黑" w:cs="黑体" w:hint="eastAsia"/>
          <w:color w:val="000000"/>
          <w:sz w:val="21"/>
          <w:szCs w:val="21"/>
        </w:rPr>
        <w:t>法注意</w:t>
      </w:r>
      <w:proofErr w:type="gramEnd"/>
      <w:r w:rsidRPr="0018456E">
        <w:rPr>
          <w:rFonts w:ascii="微软雅黑" w:eastAsia="微软雅黑" w:hAnsi="微软雅黑" w:cs="黑体" w:hint="eastAsia"/>
          <w:color w:val="000000"/>
          <w:sz w:val="21"/>
          <w:szCs w:val="21"/>
        </w:rPr>
        <w:t>公式的选取、净收益的求取、报酬率的确定和收益年限的确定（建筑物剩余经济年限与土地使用权剩余年限的比较）。</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（3）成本</w:t>
      </w:r>
      <w:proofErr w:type="gramStart"/>
      <w:r w:rsidRPr="0018456E">
        <w:rPr>
          <w:rFonts w:ascii="微软雅黑" w:eastAsia="微软雅黑" w:hAnsi="微软雅黑" w:cs="黑体" w:hint="eastAsia"/>
          <w:color w:val="000000"/>
          <w:sz w:val="21"/>
          <w:szCs w:val="21"/>
        </w:rPr>
        <w:t>法注意</w:t>
      </w:r>
      <w:proofErr w:type="gramEnd"/>
      <w:r w:rsidRPr="0018456E">
        <w:rPr>
          <w:rFonts w:ascii="微软雅黑" w:eastAsia="微软雅黑" w:hAnsi="微软雅黑" w:cs="黑体" w:hint="eastAsia"/>
          <w:color w:val="000000"/>
          <w:sz w:val="21"/>
          <w:szCs w:val="21"/>
        </w:rPr>
        <w:t>包含的成本内容，注意投资利息、销售税费和利润的计算。</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注意建筑物折旧的确定，直线折旧的年限的确定（土地使用权年限与建筑物耐用年限不一致的折旧）（参见《</w:t>
      </w:r>
      <w:hyperlink r:id="rId12" w:tgtFrame="http://www.jianshe99.com/gujia/ziliao/_blank" w:tooltip="房地产估价理论与方法" w:history="1">
        <w:r w:rsidRPr="0018456E">
          <w:rPr>
            <w:rStyle w:val="a8"/>
            <w:rFonts w:ascii="微软雅黑" w:eastAsia="微软雅黑" w:hAnsi="微软雅黑" w:cs="黑体" w:hint="eastAsia"/>
            <w:color w:val="333333"/>
            <w:sz w:val="21"/>
            <w:szCs w:val="21"/>
            <w:u w:val="none"/>
          </w:rPr>
          <w:t>房地产估价理论与方法</w:t>
        </w:r>
      </w:hyperlink>
      <w:r w:rsidRPr="0018456E">
        <w:rPr>
          <w:rFonts w:ascii="微软雅黑" w:eastAsia="微软雅黑" w:hAnsi="微软雅黑" w:cs="黑体" w:hint="eastAsia"/>
          <w:color w:val="000000"/>
          <w:sz w:val="21"/>
          <w:szCs w:val="21"/>
        </w:rPr>
        <w:t>》第七章，第五节最后部分，土地使用期限对建筑物经济寿命的影响）</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（4）假设开发</w:t>
      </w:r>
      <w:proofErr w:type="gramStart"/>
      <w:r w:rsidRPr="0018456E">
        <w:rPr>
          <w:rFonts w:ascii="微软雅黑" w:eastAsia="微软雅黑" w:hAnsi="微软雅黑" w:cs="黑体" w:hint="eastAsia"/>
          <w:color w:val="000000"/>
          <w:sz w:val="21"/>
          <w:szCs w:val="21"/>
        </w:rPr>
        <w:t>法注意</w:t>
      </w:r>
      <w:proofErr w:type="gramEnd"/>
      <w:r w:rsidRPr="0018456E">
        <w:rPr>
          <w:rFonts w:ascii="微软雅黑" w:eastAsia="微软雅黑" w:hAnsi="微软雅黑" w:cs="黑体" w:hint="eastAsia"/>
          <w:color w:val="000000"/>
          <w:sz w:val="21"/>
          <w:szCs w:val="21"/>
        </w:rPr>
        <w:t>动态和静态计算、假设开发法的3个估价前提、开发经营方式的确定、开发完成后价值的求取方法，注意减掉的后续费用不要漏项和算错。</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3.估价方法选用原则：</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（1）有大量可比实例，选用比较法，并以该法为主；</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（2）具有预期收益，选择收益法作为其中一个方法；</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lastRenderedPageBreak/>
        <w:t xml:space="preserve">　　（3）具有开发或待开发潜力，可以选用假设开发法；</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（4）无上述条件的选用成本法。其他方法都不可用时选用。</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根据估价方法选用原则判断可能存在的错误，</w:t>
      </w:r>
      <w:proofErr w:type="gramStart"/>
      <w:r w:rsidRPr="0018456E">
        <w:rPr>
          <w:rFonts w:ascii="微软雅黑" w:eastAsia="微软雅黑" w:hAnsi="微软雅黑" w:cs="黑体" w:hint="eastAsia"/>
          <w:color w:val="000000"/>
          <w:sz w:val="21"/>
          <w:szCs w:val="21"/>
        </w:rPr>
        <w:t>如收益</w:t>
      </w:r>
      <w:proofErr w:type="gramEnd"/>
      <w:r w:rsidRPr="0018456E">
        <w:rPr>
          <w:rFonts w:ascii="微软雅黑" w:eastAsia="微软雅黑" w:hAnsi="微软雅黑" w:cs="黑体" w:hint="eastAsia"/>
          <w:color w:val="000000"/>
          <w:sz w:val="21"/>
          <w:szCs w:val="21"/>
        </w:rPr>
        <w:t>性房地产没有选用收益法，只使用了一种估价方法未说明不选用其他方法的原因，估价方法的选用没有结合估价对象的特点或不符合有关的规定。</w:t>
      </w:r>
    </w:p>
    <w:p w:rsidR="00980BD1" w:rsidRPr="0018456E" w:rsidRDefault="00E30A06" w:rsidP="00481004">
      <w:pPr>
        <w:pStyle w:val="a6"/>
        <w:widowControl/>
        <w:numPr>
          <w:ilvl w:val="0"/>
          <w:numId w:val="3"/>
        </w:numPr>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估价原则独立、客观、公正原则所谓“独立”，就是要求</w:t>
      </w:r>
      <w:hyperlink r:id="rId13" w:tgtFrame="http://www.jianshe99.com/gujia/ziliao/_blank" w:tooltip="注册房地产估价师" w:history="1">
        <w:r w:rsidRPr="0018456E">
          <w:rPr>
            <w:rStyle w:val="a8"/>
            <w:rFonts w:ascii="微软雅黑" w:eastAsia="微软雅黑" w:hAnsi="微软雅黑" w:cs="黑体" w:hint="eastAsia"/>
            <w:color w:val="333333"/>
            <w:sz w:val="21"/>
            <w:szCs w:val="21"/>
            <w:u w:val="none"/>
          </w:rPr>
          <w:t>注册房地产估价师</w:t>
        </w:r>
      </w:hyperlink>
      <w:r w:rsidRPr="0018456E">
        <w:rPr>
          <w:rFonts w:ascii="微软雅黑" w:eastAsia="微软雅黑" w:hAnsi="微软雅黑" w:cs="黑体" w:hint="eastAsia"/>
          <w:color w:val="000000"/>
          <w:sz w:val="21"/>
          <w:szCs w:val="21"/>
        </w:rPr>
        <w:t>和房地产估价机构与估价委托人及估价利害关系人没有利害关系，在估价中不受包括估价委托人在内的任何单位和个人的影响，应凭自己的专业知识、经验和职业道德进行估价。所谓“客观”，</w:t>
      </w:r>
    </w:p>
    <w:p w:rsidR="00980BD1" w:rsidRPr="0018456E" w:rsidRDefault="00E30A06" w:rsidP="00481004">
      <w:pPr>
        <w:pStyle w:val="a6"/>
        <w:widowControl/>
        <w:spacing w:before="150" w:beforeAutospacing="0" w:after="150" w:afterAutospacing="0" w:line="360" w:lineRule="auto"/>
        <w:ind w:firstLineChars="200" w:firstLine="420"/>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就是要求注册房地产估价师和房地产估价机构在估价中不带着自己的情感、好恶和偏见，应按照事物的本来面目、实事求是地进行估价。所谓“公正”，就是要求注册房地产估价师和房地产估价机构在估价中不偏袒估价利害关系人中的任何一方，应坚持原则、公平正直地进行估价。</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合法原则本条所称依法，是指不仅要依据有关法律、行政法规、最高人民法院和最高人民检察院发布的有关司法解释，还要依据估价对象所在地的有关地方性法规（民族自治地方应同时依据有关自治条例和单行条例），国务院所属部门颁发的有关部门规章和政策，估价对象所在地人民政府颁发的有关地方政府规章和政策，以及估价对象的不动产登记簿（房屋登记簿、土地登记簿）、权属证书、有关批文和合同等（如规划意见书、国有建设用地使用</w:t>
      </w:r>
      <w:r w:rsidRPr="0018456E">
        <w:rPr>
          <w:rFonts w:ascii="微软雅黑" w:eastAsia="微软雅黑" w:hAnsi="微软雅黑" w:cs="黑体" w:hint="eastAsia"/>
          <w:color w:val="000000"/>
          <w:sz w:val="21"/>
          <w:szCs w:val="21"/>
        </w:rPr>
        <w:lastRenderedPageBreak/>
        <w:t>权出让招标文件、国有建设用地使用权出让合同、房地产转让合同、房屋租赁合同等）。因此，合法原则中所讲的“法”，是广义的“法”。</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遵循合法原则并不意味着只有合法的房地产才能成为估价对象，而是指依法判定估价对象是哪种状况的房地产，就应将其作为那种状况的房地产来估价。</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替代原则根据经济学原理，在同一个市场上相同的商品有相同的价格。因为任何理性的买者在购买商品之前都会在市场上搜寻并“货比三家”，然后购买其中效用最大（或质量、性能最好）而价格最低的，即购买“性价比”高或“物美价廉”的。卖者为了使其产品能够卖出，相互之间也会进行价格竞争。市场上买者、卖者的这些行为导致的结果，是在相同的商品之间形成相同的价格。</w:t>
      </w:r>
    </w:p>
    <w:p w:rsidR="00980BD1" w:rsidRPr="0018456E" w:rsidRDefault="00E30A06" w:rsidP="00481004">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房地产价格的形成一般也如此，只是由于房地产的独一无二特性，使得完全相同的房地产几乎没有，但在同一个房地产市场上，相似的房地产会有相近的价格。</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因为在现实房地产交易中，任何理性的买者和卖者，都会将其</w:t>
      </w:r>
      <w:proofErr w:type="gramStart"/>
      <w:r w:rsidRPr="0018456E">
        <w:rPr>
          <w:rFonts w:ascii="微软雅黑" w:eastAsia="微软雅黑" w:hAnsi="微软雅黑" w:cs="黑体" w:hint="eastAsia"/>
          <w:color w:val="000000"/>
          <w:sz w:val="21"/>
          <w:szCs w:val="21"/>
        </w:rPr>
        <w:t>拟买或拟卖</w:t>
      </w:r>
      <w:proofErr w:type="gramEnd"/>
      <w:r w:rsidRPr="0018456E">
        <w:rPr>
          <w:rFonts w:ascii="微软雅黑" w:eastAsia="微软雅黑" w:hAnsi="微软雅黑" w:cs="黑体" w:hint="eastAsia"/>
          <w:color w:val="000000"/>
          <w:sz w:val="21"/>
          <w:szCs w:val="21"/>
        </w:rPr>
        <w:t>的房地产与市场上相似的房地产进行比较，从而任何理性的买者不会接受比市场上相似的房地产的正常价格过高的价格，任何理性的卖者不会接受比市场上相似的房地产的正常价格过低的价格。这种相似的房地产之间价格相互牵掣的结果，是它们的价格相互接近。</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最高</w:t>
      </w:r>
      <w:proofErr w:type="gramStart"/>
      <w:r w:rsidRPr="0018456E">
        <w:rPr>
          <w:rFonts w:ascii="微软雅黑" w:eastAsia="微软雅黑" w:hAnsi="微软雅黑" w:cs="黑体" w:hint="eastAsia"/>
          <w:color w:val="000000"/>
          <w:sz w:val="21"/>
          <w:szCs w:val="21"/>
        </w:rPr>
        <w:t>最佳利用</w:t>
      </w:r>
      <w:proofErr w:type="gramEnd"/>
      <w:r w:rsidRPr="0018456E">
        <w:rPr>
          <w:rFonts w:ascii="微软雅黑" w:eastAsia="微软雅黑" w:hAnsi="微软雅黑" w:cs="黑体" w:hint="eastAsia"/>
          <w:color w:val="000000"/>
          <w:sz w:val="21"/>
          <w:szCs w:val="21"/>
        </w:rPr>
        <w:t>原则最高</w:t>
      </w:r>
      <w:proofErr w:type="gramStart"/>
      <w:r w:rsidRPr="0018456E">
        <w:rPr>
          <w:rFonts w:ascii="微软雅黑" w:eastAsia="微软雅黑" w:hAnsi="微软雅黑" w:cs="黑体" w:hint="eastAsia"/>
          <w:color w:val="000000"/>
          <w:sz w:val="21"/>
          <w:szCs w:val="21"/>
        </w:rPr>
        <w:t>最佳利用</w:t>
      </w:r>
      <w:proofErr w:type="gramEnd"/>
      <w:r w:rsidRPr="0018456E">
        <w:rPr>
          <w:rFonts w:ascii="微软雅黑" w:eastAsia="微软雅黑" w:hAnsi="微软雅黑" w:cs="黑体" w:hint="eastAsia"/>
          <w:color w:val="000000"/>
          <w:sz w:val="21"/>
          <w:szCs w:val="21"/>
        </w:rPr>
        <w:t>必须同时满足四个条件：一是法律上允许；二是技术上可能；三是财务上可行；四是价值最大化。实际估价中在选取估价对象的最高最佳利用时，往往容易忽视“法律上允许”这个前提，甚至误以为最高</w:t>
      </w:r>
      <w:proofErr w:type="gramStart"/>
      <w:r w:rsidRPr="0018456E">
        <w:rPr>
          <w:rFonts w:ascii="微软雅黑" w:eastAsia="微软雅黑" w:hAnsi="微软雅黑" w:cs="黑体" w:hint="eastAsia"/>
          <w:color w:val="000000"/>
          <w:sz w:val="21"/>
          <w:szCs w:val="21"/>
        </w:rPr>
        <w:t>最佳利用</w:t>
      </w:r>
      <w:proofErr w:type="gramEnd"/>
      <w:r w:rsidRPr="0018456E">
        <w:rPr>
          <w:rFonts w:ascii="微软雅黑" w:eastAsia="微软雅黑" w:hAnsi="微软雅黑" w:cs="黑体" w:hint="eastAsia"/>
          <w:color w:val="000000"/>
          <w:sz w:val="21"/>
          <w:szCs w:val="21"/>
        </w:rPr>
        <w:t>原则与合法原则有时是冲</w:t>
      </w:r>
      <w:r w:rsidRPr="0018456E">
        <w:rPr>
          <w:rFonts w:ascii="微软雅黑" w:eastAsia="微软雅黑" w:hAnsi="微软雅黑" w:cs="黑体" w:hint="eastAsia"/>
          <w:color w:val="000000"/>
          <w:sz w:val="21"/>
          <w:szCs w:val="21"/>
        </w:rPr>
        <w:lastRenderedPageBreak/>
        <w:t>突的。实际上，最高</w:t>
      </w:r>
      <w:proofErr w:type="gramStart"/>
      <w:r w:rsidRPr="0018456E">
        <w:rPr>
          <w:rFonts w:ascii="微软雅黑" w:eastAsia="微软雅黑" w:hAnsi="微软雅黑" w:cs="黑体" w:hint="eastAsia"/>
          <w:color w:val="000000"/>
          <w:sz w:val="21"/>
          <w:szCs w:val="21"/>
        </w:rPr>
        <w:t>最佳利用</w:t>
      </w:r>
      <w:proofErr w:type="gramEnd"/>
      <w:r w:rsidRPr="0018456E">
        <w:rPr>
          <w:rFonts w:ascii="微软雅黑" w:eastAsia="微软雅黑" w:hAnsi="微软雅黑" w:cs="黑体" w:hint="eastAsia"/>
          <w:color w:val="000000"/>
          <w:sz w:val="21"/>
          <w:szCs w:val="21"/>
        </w:rPr>
        <w:t>不是无条件的最高最佳利用，而是在法律、法规、政策以及建设用地使用权出让合同</w:t>
      </w:r>
      <w:proofErr w:type="gramStart"/>
      <w:r w:rsidRPr="0018456E">
        <w:rPr>
          <w:rFonts w:ascii="微软雅黑" w:eastAsia="微软雅黑" w:hAnsi="微软雅黑" w:cs="黑体" w:hint="eastAsia"/>
          <w:color w:val="000000"/>
          <w:sz w:val="21"/>
          <w:szCs w:val="21"/>
        </w:rPr>
        <w:t>等允许</w:t>
      </w:r>
      <w:proofErr w:type="gramEnd"/>
      <w:r w:rsidRPr="0018456E">
        <w:rPr>
          <w:rFonts w:ascii="微软雅黑" w:eastAsia="微软雅黑" w:hAnsi="微软雅黑" w:cs="黑体" w:hint="eastAsia"/>
          <w:color w:val="000000"/>
          <w:sz w:val="21"/>
          <w:szCs w:val="21"/>
        </w:rPr>
        <w:t>范围内的最高最佳利用。因此，最高</w:t>
      </w:r>
      <w:proofErr w:type="gramStart"/>
      <w:r w:rsidRPr="0018456E">
        <w:rPr>
          <w:rFonts w:ascii="微软雅黑" w:eastAsia="微软雅黑" w:hAnsi="微软雅黑" w:cs="黑体" w:hint="eastAsia"/>
          <w:color w:val="000000"/>
          <w:sz w:val="21"/>
          <w:szCs w:val="21"/>
        </w:rPr>
        <w:t>最佳利用</w:t>
      </w:r>
      <w:proofErr w:type="gramEnd"/>
      <w:r w:rsidRPr="0018456E">
        <w:rPr>
          <w:rFonts w:ascii="微软雅黑" w:eastAsia="微软雅黑" w:hAnsi="微软雅黑" w:cs="黑体" w:hint="eastAsia"/>
          <w:color w:val="000000"/>
          <w:sz w:val="21"/>
          <w:szCs w:val="21"/>
        </w:rPr>
        <w:t>原则与合法原则的关系是：遵循了合法原则，并不意味着会遵循最高</w:t>
      </w:r>
      <w:proofErr w:type="gramStart"/>
      <w:r w:rsidRPr="0018456E">
        <w:rPr>
          <w:rFonts w:ascii="微软雅黑" w:eastAsia="微软雅黑" w:hAnsi="微软雅黑" w:cs="黑体" w:hint="eastAsia"/>
          <w:color w:val="000000"/>
          <w:sz w:val="21"/>
          <w:szCs w:val="21"/>
        </w:rPr>
        <w:t>最佳利用</w:t>
      </w:r>
      <w:proofErr w:type="gramEnd"/>
      <w:r w:rsidRPr="0018456E">
        <w:rPr>
          <w:rFonts w:ascii="微软雅黑" w:eastAsia="微软雅黑" w:hAnsi="微软雅黑" w:cs="黑体" w:hint="eastAsia"/>
          <w:color w:val="000000"/>
          <w:sz w:val="21"/>
          <w:szCs w:val="21"/>
        </w:rPr>
        <w:t>原则；而遵循了最高</w:t>
      </w:r>
      <w:proofErr w:type="gramStart"/>
      <w:r w:rsidRPr="0018456E">
        <w:rPr>
          <w:rFonts w:ascii="微软雅黑" w:eastAsia="微软雅黑" w:hAnsi="微软雅黑" w:cs="黑体" w:hint="eastAsia"/>
          <w:color w:val="000000"/>
          <w:sz w:val="21"/>
          <w:szCs w:val="21"/>
        </w:rPr>
        <w:t>最佳利用</w:t>
      </w:r>
      <w:proofErr w:type="gramEnd"/>
      <w:r w:rsidRPr="0018456E">
        <w:rPr>
          <w:rFonts w:ascii="微软雅黑" w:eastAsia="微软雅黑" w:hAnsi="微软雅黑" w:cs="黑体" w:hint="eastAsia"/>
          <w:color w:val="000000"/>
          <w:sz w:val="21"/>
          <w:szCs w:val="21"/>
        </w:rPr>
        <w:t>原则，则必然符合了合法原则中对估价对象依法利用的要求，但并不意味着符合了合法原则中的其他要求。</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5.市场背景分析</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（1）缺失本项描述内容包括：宏观经济形势和相关政策情况、当地房地产市场总体状况、当地同类房地产市场状况，缺少某一项描述。</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（2）缺少分析或者分析结论与描述不符的。</w:t>
      </w:r>
    </w:p>
    <w:p w:rsidR="00980BD1" w:rsidRPr="0018456E" w:rsidRDefault="00E30A06" w:rsidP="00481004">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（3）分析针对性不强，如分析结论不能为估价测算及估价参数取值提供支持的。</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市场背景分析需要有详细的分析过程，包括过去、现在和</w:t>
      </w:r>
      <w:proofErr w:type="gramStart"/>
      <w:r w:rsidRPr="0018456E">
        <w:rPr>
          <w:rFonts w:ascii="微软雅黑" w:eastAsia="微软雅黑" w:hAnsi="微软雅黑" w:cs="黑体" w:hint="eastAsia"/>
          <w:color w:val="000000"/>
          <w:sz w:val="21"/>
          <w:szCs w:val="21"/>
        </w:rPr>
        <w:t>可</w:t>
      </w:r>
      <w:proofErr w:type="gramEnd"/>
      <w:r w:rsidRPr="0018456E">
        <w:rPr>
          <w:rFonts w:ascii="微软雅黑" w:eastAsia="微软雅黑" w:hAnsi="微软雅黑" w:cs="黑体" w:hint="eastAsia"/>
          <w:color w:val="000000"/>
          <w:sz w:val="21"/>
          <w:szCs w:val="21"/>
        </w:rPr>
        <w:t>预见的未来的市场状况分析，从深层次揭示影响类似房地产价格的主要因素。市场背景分析过于简单也可视为一项错误。背景分析没有结合估价对象特点，说明变动趋势。</w:t>
      </w:r>
    </w:p>
    <w:sectPr w:rsidR="00980BD1" w:rsidRPr="0018456E" w:rsidSect="00980BD1">
      <w:headerReference w:type="even" r:id="rId14"/>
      <w:headerReference w:type="default" r:id="rId15"/>
      <w:footerReference w:type="default" r:id="rId16"/>
      <w:headerReference w:type="firs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4FC2" w:rsidRDefault="00094FC2" w:rsidP="00980BD1">
      <w:r>
        <w:separator/>
      </w:r>
    </w:p>
  </w:endnote>
  <w:endnote w:type="continuationSeparator" w:id="0">
    <w:p w:rsidR="00094FC2" w:rsidRDefault="00094FC2" w:rsidP="00980B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40072"/>
    </w:sdtPr>
    <w:sdtContent>
      <w:sdt>
        <w:sdtPr>
          <w:id w:val="171357217"/>
        </w:sdtPr>
        <w:sdtContent>
          <w:p w:rsidR="00980BD1" w:rsidRDefault="00E30A06">
            <w:pPr>
              <w:pStyle w:val="a4"/>
              <w:jc w:val="center"/>
              <w:rPr>
                <w:b/>
                <w:sz w:val="24"/>
                <w:szCs w:val="24"/>
              </w:rPr>
            </w:pPr>
            <w:r>
              <w:rPr>
                <w:lang w:val="zh-CN"/>
              </w:rPr>
              <w:t xml:space="preserve"> </w:t>
            </w:r>
            <w:r w:rsidR="000C39B3">
              <w:rPr>
                <w:b/>
                <w:sz w:val="24"/>
                <w:szCs w:val="24"/>
              </w:rPr>
              <w:fldChar w:fldCharType="begin"/>
            </w:r>
            <w:r>
              <w:rPr>
                <w:b/>
              </w:rPr>
              <w:instrText>PAGE</w:instrText>
            </w:r>
            <w:r w:rsidR="000C39B3">
              <w:rPr>
                <w:b/>
                <w:sz w:val="24"/>
                <w:szCs w:val="24"/>
              </w:rPr>
              <w:fldChar w:fldCharType="separate"/>
            </w:r>
            <w:r w:rsidR="00C468AF">
              <w:rPr>
                <w:b/>
                <w:noProof/>
              </w:rPr>
              <w:t>17</w:t>
            </w:r>
            <w:r w:rsidR="000C39B3">
              <w:rPr>
                <w:b/>
                <w:sz w:val="24"/>
                <w:szCs w:val="24"/>
              </w:rPr>
              <w:fldChar w:fldCharType="end"/>
            </w:r>
            <w:r>
              <w:rPr>
                <w:lang w:val="zh-CN"/>
              </w:rPr>
              <w:t xml:space="preserve"> / </w:t>
            </w:r>
            <w:r w:rsidR="000C39B3">
              <w:rPr>
                <w:b/>
                <w:sz w:val="24"/>
                <w:szCs w:val="24"/>
              </w:rPr>
              <w:fldChar w:fldCharType="begin"/>
            </w:r>
            <w:r>
              <w:rPr>
                <w:b/>
              </w:rPr>
              <w:instrText>NUMPAGES</w:instrText>
            </w:r>
            <w:r w:rsidR="000C39B3">
              <w:rPr>
                <w:b/>
                <w:sz w:val="24"/>
                <w:szCs w:val="24"/>
              </w:rPr>
              <w:fldChar w:fldCharType="separate"/>
            </w:r>
            <w:r w:rsidR="00C468AF">
              <w:rPr>
                <w:b/>
                <w:noProof/>
              </w:rPr>
              <w:t>17</w:t>
            </w:r>
            <w:r w:rsidR="000C39B3">
              <w:rPr>
                <w:b/>
                <w:sz w:val="24"/>
                <w:szCs w:val="24"/>
              </w:rPr>
              <w:fldChar w:fldCharType="end"/>
            </w:r>
          </w:p>
          <w:p w:rsidR="00980BD1" w:rsidRDefault="00980BD1">
            <w:pPr>
              <w:pStyle w:val="a4"/>
              <w:jc w:val="center"/>
              <w:rPr>
                <w:b/>
                <w:sz w:val="24"/>
                <w:szCs w:val="24"/>
              </w:rPr>
            </w:pPr>
          </w:p>
          <w:p w:rsidR="00980BD1" w:rsidRDefault="00E30A06">
            <w:pPr>
              <w:pStyle w:val="a4"/>
              <w:jc w:val="center"/>
            </w:pPr>
            <w:r>
              <w:rPr>
                <w:b/>
                <w:noProof/>
                <w:sz w:val="24"/>
                <w:szCs w:val="24"/>
              </w:rPr>
              <w:drawing>
                <wp:inline distT="0" distB="0" distL="0" distR="0">
                  <wp:extent cx="571500" cy="561340"/>
                  <wp:effectExtent l="19050" t="0" r="0" b="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noChangeArrowheads="1"/>
                          </pic:cNvPicPr>
                        </pic:nvPicPr>
                        <pic:blipFill>
                          <a:blip r:embed="rId1"/>
                          <a:srcRect/>
                          <a:stretch>
                            <a:fillRect/>
                          </a:stretch>
                        </pic:blipFill>
                        <pic:spPr>
                          <a:xfrm>
                            <a:off x="0" y="0"/>
                            <a:ext cx="571500" cy="561385"/>
                          </a:xfrm>
                          <a:prstGeom prst="rect">
                            <a:avLst/>
                          </a:prstGeom>
                          <a:noFill/>
                          <a:ln w="9525">
                            <a:noFill/>
                            <a:miter lim="800000"/>
                            <a:headEnd/>
                            <a:tailEnd/>
                          </a:ln>
                        </pic:spPr>
                      </pic:pic>
                    </a:graphicData>
                  </a:graphic>
                </wp:inline>
              </w:drawing>
            </w:r>
          </w:p>
          <w:p w:rsidR="00980BD1" w:rsidRDefault="00E30A06">
            <w:pPr>
              <w:pStyle w:val="a4"/>
              <w:jc w:val="center"/>
            </w:pPr>
            <w:proofErr w:type="gramStart"/>
            <w:r>
              <w:rPr>
                <w:rFonts w:hint="eastAsia"/>
              </w:rPr>
              <w:t>扫码关注官网</w:t>
            </w:r>
            <w:proofErr w:type="gramEnd"/>
            <w:r>
              <w:rPr>
                <w:rFonts w:hint="eastAsia"/>
              </w:rPr>
              <w:t xml:space="preserve"> </w:t>
            </w:r>
            <w:r>
              <w:rPr>
                <w:rFonts w:hint="eastAsia"/>
              </w:rPr>
              <w:t>及时知道考试信息</w:t>
            </w:r>
          </w:p>
        </w:sdtContent>
      </w:sdt>
    </w:sdtContent>
  </w:sdt>
  <w:p w:rsidR="00980BD1" w:rsidRDefault="00980BD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4FC2" w:rsidRDefault="00094FC2" w:rsidP="00980BD1">
      <w:r>
        <w:separator/>
      </w:r>
    </w:p>
  </w:footnote>
  <w:footnote w:type="continuationSeparator" w:id="0">
    <w:p w:rsidR="00094FC2" w:rsidRDefault="00094FC2" w:rsidP="00980B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BD1" w:rsidRDefault="00E30A06">
    <w:pPr>
      <w:pStyle w:val="a5"/>
    </w:pPr>
    <w:r>
      <w:rPr>
        <w:noProof/>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69230" cy="6586220"/>
          <wp:effectExtent l="0" t="0" r="7620" b="5080"/>
          <wp:wrapNone/>
          <wp:docPr id="3" name="WordPictureWatermark23033985"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3033985"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BD1" w:rsidRDefault="00E30A06">
    <w:pPr>
      <w:pStyle w:val="a5"/>
      <w:jc w:val="left"/>
    </w:pPr>
    <w:r>
      <w:rPr>
        <w:noProof/>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269230" cy="6586220"/>
          <wp:effectExtent l="0" t="0" r="7620" b="5080"/>
          <wp:wrapNone/>
          <wp:docPr id="4" name="WordPictureWatermark23033986"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23033986"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r>
      <w:rPr>
        <w:noProof/>
      </w:rPr>
      <w:drawing>
        <wp:inline distT="0" distB="0" distL="0" distR="0">
          <wp:extent cx="1476375" cy="4095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
                  <a:srcRect/>
                  <a:stretch>
                    <a:fillRect/>
                  </a:stretch>
                </pic:blipFill>
                <pic:spPr>
                  <a:xfrm>
                    <a:off x="0" y="0"/>
                    <a:ext cx="1476375" cy="410104"/>
                  </a:xfrm>
                  <a:prstGeom prst="rect">
                    <a:avLst/>
                  </a:prstGeom>
                  <a:noFill/>
                  <a:ln w="9525">
                    <a:noFill/>
                    <a:miter lim="800000"/>
                    <a:headEnd/>
                    <a:tailEnd/>
                  </a:ln>
                </pic:spPr>
              </pic:pic>
            </a:graphicData>
          </a:graphic>
        </wp:inline>
      </w:drawing>
    </w:r>
    <w:r>
      <w:rPr>
        <w:rFonts w:hint="eastAsia"/>
      </w:rPr>
      <w:t xml:space="preserve">                                24</w:t>
    </w:r>
    <w:r>
      <w:rPr>
        <w:rFonts w:hint="eastAsia"/>
      </w:rPr>
      <w:t>小时报名咨询热线：</w:t>
    </w:r>
    <w:r>
      <w:t>010-82326699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BD1" w:rsidRDefault="00E30A06">
    <w:pPr>
      <w:pStyle w:val="a5"/>
    </w:pPr>
    <w:r>
      <w:rPr>
        <w:noProof/>
      </w:rP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269230" cy="6586220"/>
          <wp:effectExtent l="0" t="0" r="7620" b="5080"/>
          <wp:wrapNone/>
          <wp:docPr id="2" name="WordPictureWatermark23033984"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3033984"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8A4D4A"/>
    <w:multiLevelType w:val="singleLevel"/>
    <w:tmpl w:val="A68A4D4A"/>
    <w:lvl w:ilvl="0">
      <w:start w:val="4"/>
      <w:numFmt w:val="decimal"/>
      <w:lvlText w:val="%1."/>
      <w:lvlJc w:val="left"/>
      <w:pPr>
        <w:tabs>
          <w:tab w:val="left" w:pos="312"/>
        </w:tabs>
        <w:ind w:left="480" w:firstLine="0"/>
      </w:pPr>
    </w:lvl>
  </w:abstractNum>
  <w:abstractNum w:abstractNumId="1">
    <w:nsid w:val="1B0B7C1C"/>
    <w:multiLevelType w:val="singleLevel"/>
    <w:tmpl w:val="1B0B7C1C"/>
    <w:lvl w:ilvl="0">
      <w:start w:val="5"/>
      <w:numFmt w:val="decimal"/>
      <w:lvlText w:val="%1."/>
      <w:lvlJc w:val="left"/>
      <w:pPr>
        <w:tabs>
          <w:tab w:val="left" w:pos="312"/>
        </w:tabs>
        <w:ind w:left="480" w:firstLine="0"/>
      </w:pPr>
    </w:lvl>
  </w:abstractNum>
  <w:abstractNum w:abstractNumId="2">
    <w:nsid w:val="7C259732"/>
    <w:multiLevelType w:val="singleLevel"/>
    <w:tmpl w:val="7C259732"/>
    <w:lvl w:ilvl="0">
      <w:start w:val="1"/>
      <w:numFmt w:val="decimal"/>
      <w:lvlText w:val="%1."/>
      <w:lvlJc w:val="left"/>
      <w:pPr>
        <w:tabs>
          <w:tab w:val="left" w:pos="312"/>
        </w:tabs>
        <w:ind w:left="480" w:firstLine="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555E3"/>
    <w:rsid w:val="00094FC2"/>
    <w:rsid w:val="000C39B3"/>
    <w:rsid w:val="0018456E"/>
    <w:rsid w:val="001862AF"/>
    <w:rsid w:val="00481004"/>
    <w:rsid w:val="007F3493"/>
    <w:rsid w:val="008555E3"/>
    <w:rsid w:val="00980BD1"/>
    <w:rsid w:val="00A02065"/>
    <w:rsid w:val="00B904C8"/>
    <w:rsid w:val="00BF37DF"/>
    <w:rsid w:val="00C468AF"/>
    <w:rsid w:val="00C92C4F"/>
    <w:rsid w:val="00CD1EA8"/>
    <w:rsid w:val="00E30A06"/>
    <w:rsid w:val="00EA6440"/>
    <w:rsid w:val="00FA1F8A"/>
    <w:rsid w:val="01817C70"/>
    <w:rsid w:val="05B214BD"/>
    <w:rsid w:val="08A159D8"/>
    <w:rsid w:val="0D2F1F36"/>
    <w:rsid w:val="0F024DAF"/>
    <w:rsid w:val="137A6CAA"/>
    <w:rsid w:val="175A016D"/>
    <w:rsid w:val="1B846DA3"/>
    <w:rsid w:val="27FB2614"/>
    <w:rsid w:val="2CE00D48"/>
    <w:rsid w:val="3394577A"/>
    <w:rsid w:val="3EEB540E"/>
    <w:rsid w:val="40EF4287"/>
    <w:rsid w:val="45110A7A"/>
    <w:rsid w:val="46DF5A91"/>
    <w:rsid w:val="472A46BC"/>
    <w:rsid w:val="483464AB"/>
    <w:rsid w:val="4B261A59"/>
    <w:rsid w:val="4F1B6354"/>
    <w:rsid w:val="4FA8738A"/>
    <w:rsid w:val="509222C0"/>
    <w:rsid w:val="50F16439"/>
    <w:rsid w:val="51813C26"/>
    <w:rsid w:val="541F66CD"/>
    <w:rsid w:val="54FE03FB"/>
    <w:rsid w:val="55032C6F"/>
    <w:rsid w:val="5A8C17E0"/>
    <w:rsid w:val="5C59669C"/>
    <w:rsid w:val="60374BE2"/>
    <w:rsid w:val="63696CA7"/>
    <w:rsid w:val="665D1DD6"/>
    <w:rsid w:val="6EDF3D9D"/>
    <w:rsid w:val="6FAA3F7C"/>
    <w:rsid w:val="70C93E50"/>
    <w:rsid w:val="75906A09"/>
    <w:rsid w:val="760B7AFD"/>
    <w:rsid w:val="783B2023"/>
    <w:rsid w:val="7CEA5DB0"/>
    <w:rsid w:val="7D6549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0BD1"/>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980BD1"/>
    <w:rPr>
      <w:sz w:val="18"/>
      <w:szCs w:val="18"/>
    </w:rPr>
  </w:style>
  <w:style w:type="paragraph" w:styleId="a4">
    <w:name w:val="footer"/>
    <w:basedOn w:val="a"/>
    <w:link w:val="Char0"/>
    <w:uiPriority w:val="99"/>
    <w:unhideWhenUsed/>
    <w:qFormat/>
    <w:rsid w:val="00980BD1"/>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980BD1"/>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rsid w:val="00980BD1"/>
    <w:pPr>
      <w:spacing w:beforeAutospacing="1" w:afterAutospacing="1"/>
      <w:jc w:val="left"/>
    </w:pPr>
    <w:rPr>
      <w:rFonts w:cs="Times New Roman"/>
      <w:kern w:val="0"/>
      <w:sz w:val="24"/>
    </w:rPr>
  </w:style>
  <w:style w:type="character" w:styleId="a7">
    <w:name w:val="Strong"/>
    <w:basedOn w:val="a0"/>
    <w:qFormat/>
    <w:rsid w:val="00980BD1"/>
    <w:rPr>
      <w:b/>
    </w:rPr>
  </w:style>
  <w:style w:type="character" w:styleId="a8">
    <w:name w:val="Hyperlink"/>
    <w:basedOn w:val="a0"/>
    <w:uiPriority w:val="99"/>
    <w:semiHidden/>
    <w:unhideWhenUsed/>
    <w:rsid w:val="00980BD1"/>
    <w:rPr>
      <w:color w:val="0000FF"/>
      <w:u w:val="single"/>
    </w:rPr>
  </w:style>
  <w:style w:type="character" w:customStyle="1" w:styleId="Char1">
    <w:name w:val="页眉 Char"/>
    <w:basedOn w:val="a0"/>
    <w:link w:val="a5"/>
    <w:uiPriority w:val="99"/>
    <w:semiHidden/>
    <w:qFormat/>
    <w:rsid w:val="00980BD1"/>
    <w:rPr>
      <w:sz w:val="18"/>
      <w:szCs w:val="18"/>
    </w:rPr>
  </w:style>
  <w:style w:type="character" w:customStyle="1" w:styleId="Char0">
    <w:name w:val="页脚 Char"/>
    <w:basedOn w:val="a0"/>
    <w:link w:val="a4"/>
    <w:uiPriority w:val="99"/>
    <w:qFormat/>
    <w:rsid w:val="00980BD1"/>
    <w:rPr>
      <w:sz w:val="18"/>
      <w:szCs w:val="18"/>
    </w:rPr>
  </w:style>
  <w:style w:type="character" w:customStyle="1" w:styleId="Char">
    <w:name w:val="批注框文本 Char"/>
    <w:basedOn w:val="a0"/>
    <w:link w:val="a3"/>
    <w:uiPriority w:val="99"/>
    <w:semiHidden/>
    <w:rsid w:val="00980BD1"/>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jianshe99.com/gujia/" TargetMode="External"/><Relationship Id="rId13" Type="http://schemas.openxmlformats.org/officeDocument/2006/relationships/hyperlink" Target="http://www.jianshe99.com/guji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jianshe99.com/gujia/moniti/fangfa/"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jianshe99.com/gujia/"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jianshe99.com/guji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jianshe99.com/gujia/zhuce/"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1374</Words>
  <Characters>7834</Characters>
  <Application>Microsoft Office Word</Application>
  <DocSecurity>0</DocSecurity>
  <Lines>65</Lines>
  <Paragraphs>18</Paragraphs>
  <ScaleCrop>false</ScaleCrop>
  <Company/>
  <LinksUpToDate>false</LinksUpToDate>
  <CharactersWithSpaces>9190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2018-08-20T06:37:00Z</dcterms:created>
  <dcterms:modified xsi:type="dcterms:W3CDTF">2018-10-17T01:37:00Z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2052-11.1.0.7795</vt:lpwstr>
  </property>
</Properties>
</file>