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A0D" w:rsidRPr="00156362" w:rsidRDefault="004446B2" w:rsidP="00156362">
      <w:pPr>
        <w:pStyle w:val="a6"/>
        <w:widowControl/>
        <w:spacing w:before="150" w:beforeAutospacing="0" w:after="150" w:afterAutospacing="0" w:line="360" w:lineRule="auto"/>
        <w:jc w:val="center"/>
        <w:rPr>
          <w:rStyle w:val="a7"/>
          <w:rFonts w:ascii="微软雅黑" w:eastAsia="微软雅黑" w:hAnsi="微软雅黑" w:cs="黑体"/>
          <w:color w:val="000000"/>
          <w:sz w:val="28"/>
          <w:szCs w:val="28"/>
        </w:rPr>
      </w:pPr>
      <w:bookmarkStart w:id="0" w:name="_GoBack"/>
      <w:proofErr w:type="gramStart"/>
      <w:r w:rsidRPr="00156362">
        <w:rPr>
          <w:rStyle w:val="a7"/>
          <w:rFonts w:ascii="微软雅黑" w:eastAsia="微软雅黑" w:hAnsi="微软雅黑" w:cs="黑体" w:hint="eastAsia"/>
          <w:color w:val="000000"/>
          <w:sz w:val="28"/>
          <w:szCs w:val="28"/>
        </w:rPr>
        <w:t>房估《理论与方法》</w:t>
      </w:r>
      <w:proofErr w:type="gramEnd"/>
      <w:r w:rsidRPr="00156362">
        <w:rPr>
          <w:rStyle w:val="a7"/>
          <w:rFonts w:ascii="微软雅黑" w:eastAsia="微软雅黑" w:hAnsi="微软雅黑" w:cs="黑体" w:hint="eastAsia"/>
          <w:color w:val="000000"/>
          <w:sz w:val="28"/>
          <w:szCs w:val="28"/>
        </w:rPr>
        <w:t>高频考点</w:t>
      </w:r>
      <w:bookmarkEnd w:id="0"/>
    </w:p>
    <w:p w:rsidR="004D3A0D" w:rsidRPr="00156362" w:rsidRDefault="004446B2" w:rsidP="007D35C8">
      <w:pPr>
        <w:pStyle w:val="a6"/>
        <w:widowControl/>
        <w:spacing w:before="150" w:beforeAutospacing="0" w:after="150" w:afterAutospacing="0" w:line="360" w:lineRule="auto"/>
        <w:ind w:firstLine="420"/>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高频考点（第一章）</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1.专业估价与非专业估价的五大不同点（P2）</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（1）由专业机构和专业人员完成；</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（2）提供专业意见；</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（3）具有公信力；</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（4）实行有偿服务；</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（5）承担法律责任。</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w:t>
      </w:r>
      <w:proofErr w:type="gramStart"/>
      <w:r w:rsidRPr="00156362">
        <w:rPr>
          <w:rFonts w:ascii="微软雅黑" w:eastAsia="微软雅黑" w:hAnsi="微软雅黑" w:cs="黑体" w:hint="eastAsia"/>
          <w:color w:val="000000"/>
          <w:sz w:val="21"/>
          <w:szCs w:val="21"/>
        </w:rPr>
        <w:t>鉴证</w:t>
      </w:r>
      <w:proofErr w:type="gramEnd"/>
      <w:r w:rsidRPr="00156362">
        <w:rPr>
          <w:rFonts w:ascii="微软雅黑" w:eastAsia="微软雅黑" w:hAnsi="微软雅黑" w:cs="黑体" w:hint="eastAsia"/>
          <w:color w:val="000000"/>
          <w:sz w:val="21"/>
          <w:szCs w:val="21"/>
        </w:rPr>
        <w:t>性估价（公证性估价、证据性估价）是向委托人提供，估价报告供委托人给第三方使用，起价值证明作用，如为证券发行、上市公司关联交易、房地产抵押贷款、房屋征收补偿、人民法院强制拍卖房地产提供参考依据的估价。</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3.专业房地产估价与非专业房地产估价的区别</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专业/非专业五大不同（重要考点）：</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①专业机构和专业人员——前者指具有一定数量的估价专业人员等条件，专门从事有关估价活动的单位。后者指具有估价专业知识及实践经验、专门从事有关估价活动的个人。</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②专业意见——专业估价不是用直觉或仅凭经验得出的，而是按照严谨的程序，根据有关资料数据，采用科学的方法，经过审慎的分析、测算和判断得出的，较客观合理。</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③公信力——专业机构和专业人员完成，估价结果较客观合理，所以具有证明效力，能使人们信服、认可或接受。</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④有偿服务——受他人委托，有偿服务，向委托人收取费用。</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⑤法律责任——责令限期改正、行政处罚、民事赔偿责任、刑事责任。</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4.房地产抵押的需要（掌握）</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房地产抵押：债务人或第三人（抵押人）不转移占有，将该房地产作为履债担保，债务人不履行到期债务或者发生当事人约定的实现抵押权的情形，债权人（抵押权人）有权以该房地产折价或者以拍卖、变卖所得价款优先受偿。</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2.房地产是良好的用于担保债务履行的财产。贷款金额小于抵押房地产的价值（出于安全的考虑）。</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5.估价方法</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比较法、收益法和成本法、假设开发法、</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法、基准地价修正法、标准价调整法、多元回归分析法、长期趋势法等。</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每种估价方法都有其适用对象和条件。同时运用，相互验证，但不应相互替代。不同方法可以互补，如特殊厂房不适用比较法，但适用成本法；待开发土地不适用成本法，但适用假设开发法和比较法；在建工程不适用比较法，但适用成本法和假设开发法。</w:t>
      </w:r>
    </w:p>
    <w:p w:rsidR="004D3A0D" w:rsidRPr="00156362" w:rsidRDefault="004446B2" w:rsidP="007D35C8">
      <w:pPr>
        <w:pStyle w:val="a6"/>
        <w:widowControl/>
        <w:spacing w:before="150" w:beforeAutospacing="0" w:after="150" w:afterAutospacing="0" w:line="360" w:lineRule="auto"/>
        <w:ind w:firstLine="420"/>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高频考点（第二章）</w:t>
      </w:r>
    </w:p>
    <w:p w:rsidR="004D3A0D" w:rsidRPr="00156362" w:rsidRDefault="004446B2" w:rsidP="007D35C8">
      <w:pPr>
        <w:pStyle w:val="a6"/>
        <w:widowControl/>
        <w:numPr>
          <w:ilvl w:val="0"/>
          <w:numId w:val="1"/>
        </w:numPr>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房地产权利的分类（P53）</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noProof/>
          <w:color w:val="000000"/>
          <w:sz w:val="21"/>
          <w:szCs w:val="21"/>
        </w:rPr>
        <w:drawing>
          <wp:inline distT="0" distB="0" distL="114300" distR="114300">
            <wp:extent cx="4286250" cy="2647950"/>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8" cstate="print"/>
                    <a:stretch>
                      <a:fillRect/>
                    </a:stretch>
                  </pic:blipFill>
                  <pic:spPr>
                    <a:xfrm>
                      <a:off x="0" y="0"/>
                      <a:ext cx="4286250" cy="2647950"/>
                    </a:xfrm>
                    <a:prstGeom prst="rect">
                      <a:avLst/>
                    </a:prstGeom>
                    <a:noFill/>
                    <a:ln w="9525">
                      <a:noFill/>
                    </a:ln>
                  </pic:spPr>
                </pic:pic>
              </a:graphicData>
            </a:graphic>
          </wp:inline>
        </w:drawing>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2.房地产实物、权益和区位的含义</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房地产实物的含义（考点在相关知识部分）</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房地产中看得见、摸得着的部分，例如，土地的形状、地形、地势、地质、土壤、平整程度等，建筑物的外观、建筑结构、设施设备、装饰装修等。认识房地产实物，需要测绘、建筑、设备等专业知识。</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房地产实物是有形的实体、该实体的质量、该实体组合完成的功能。以一幢房屋为例，其有形的实体，如结构，是砖木的、砖混的、钢筋混凝土结构或者钢结构的；实体的质量，如优良工程，合格工程；组合完成的功能，如空间布局如何，户型如何。</w:t>
      </w:r>
    </w:p>
    <w:p w:rsidR="004D3A0D" w:rsidRPr="00156362" w:rsidRDefault="004446B2" w:rsidP="007D35C8">
      <w:pPr>
        <w:pStyle w:val="a6"/>
        <w:widowControl/>
        <w:numPr>
          <w:ilvl w:val="0"/>
          <w:numId w:val="1"/>
        </w:numPr>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物权与债权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①债权是权利人请求特定义务人为或者不为一定行为的权利，债权的权利人不能要求与其债权债务关系无关的人为或者不为一定行为。“相对权”、“对人权”。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②物权是权利人依法对特定的物享有直接支配和排他的权利，物权的义务人是物权的权利人以外的任何其他人。“绝对权”、“对世权”。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③“物权优先于债权”、“时间优先”。</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④所有权是自物权，其他的是他物权。他物权中，抵押权是担保物权，其他的他物权是用益物权。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4.寿命长久特性也称为耐久性，对土地而言，也称为不可毁灭性、永续性。建设用地使用权期间届满，除住宅建设用地使用权自动续期外，非住宅建设用地使用权人未申请续期或者虽然申请续期但依法未获批准的，建设用地使用权由国家无偿收回。（P62）</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5.按开发程度划分的种类（5类）（熟悉）</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（1）生地——无基础设施；</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（2）毛地——有基础设施＋未拆迁；</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（3）熟地——完善的基础设施＋场地平整，可直接建造建筑物；有“三通一平”、“五通一平”和“七通一平”三种情况。</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（4）在建工程——已开工但尚未建成，不具备使用条件的项目（包括缓建工程）。缓建工程也是在建工程。</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判定是否为在建工程，以是否完成工程竣工验收为标志。</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（5）现房——已建造完成＋可直接使用。</w:t>
      </w:r>
    </w:p>
    <w:p w:rsidR="004D3A0D" w:rsidRPr="00156362" w:rsidRDefault="004D3A0D" w:rsidP="007D35C8">
      <w:pPr>
        <w:spacing w:line="360" w:lineRule="auto"/>
        <w:rPr>
          <w:rFonts w:ascii="微软雅黑" w:eastAsia="微软雅黑" w:hAnsi="微软雅黑"/>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高频考点（第三章）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1.成交价格（P87～88）</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w:t>
      </w:r>
      <w:proofErr w:type="gramStart"/>
      <w:r w:rsidRPr="00156362">
        <w:rPr>
          <w:rFonts w:ascii="微软雅黑" w:eastAsia="微软雅黑" w:hAnsi="微软雅黑" w:cs="黑体" w:hint="eastAsia"/>
          <w:color w:val="000000"/>
          <w:sz w:val="21"/>
          <w:szCs w:val="21"/>
        </w:rPr>
        <w:t>当最高</w:t>
      </w:r>
      <w:proofErr w:type="gramEnd"/>
      <w:r w:rsidRPr="00156362">
        <w:rPr>
          <w:rFonts w:ascii="微软雅黑" w:eastAsia="微软雅黑" w:hAnsi="微软雅黑" w:cs="黑体" w:hint="eastAsia"/>
          <w:color w:val="000000"/>
          <w:sz w:val="21"/>
          <w:szCs w:val="21"/>
        </w:rPr>
        <w:t>买价高于或等于最低卖价，才有成交可能。三者关系：最高买价≥成交价≥最低卖价。最高买价与最低卖价之间的区间构成了成交价格的可能区间。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（2）实际成交价格落在区间的某个位置取决于：买卖双方相对的议价能力和技巧，特别是该种房地产是处于买方市场还是卖方市场。</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（3）正常成交价格的形成条件：公开市场；交易对象本身具备市场性；众多的买者和卖者；买者和卖者都不受任何压力，完全出于自愿；自私且理性的经济行为（</w:t>
      </w:r>
      <w:proofErr w:type="gramStart"/>
      <w:r w:rsidRPr="00156362">
        <w:rPr>
          <w:rFonts w:ascii="微软雅黑" w:eastAsia="微软雅黑" w:hAnsi="微软雅黑" w:cs="黑体" w:hint="eastAsia"/>
          <w:color w:val="000000"/>
          <w:sz w:val="21"/>
          <w:szCs w:val="21"/>
        </w:rPr>
        <w:t>经济人</w:t>
      </w:r>
      <w:proofErr w:type="gramEnd"/>
      <w:r w:rsidRPr="00156362">
        <w:rPr>
          <w:rFonts w:ascii="微软雅黑" w:eastAsia="微软雅黑" w:hAnsi="微软雅黑" w:cs="黑体" w:hint="eastAsia"/>
          <w:color w:val="000000"/>
          <w:sz w:val="21"/>
          <w:szCs w:val="21"/>
        </w:rPr>
        <w:t>假定）；买者和卖者都具有完全信息；适当的期间完成交易。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2.房地产估价本质上是评估房地产的价值。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1.价格和价值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（1）房地产价格是和平地取得他人的房地产所必须付出的代价——货币或实物、无形资产和其他经济利益。</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（2）房地产价格的形成条件（三条件）：使用价值，稀缺性，有效需求（意愿＋购买能力）。</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注意区分：需要的概念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3.抵押价值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抵押价值是在抵押期间的各个时点，特别是在债务人不履行到期债务或者发生当事人约定的实现抵押权的情形，将抵押房地产拍卖、变卖最可能所得的价款扣除法定优先受偿款后的余额。抵押价值任何时候都要大于</w:t>
      </w:r>
      <w:proofErr w:type="gramStart"/>
      <w:r w:rsidRPr="00156362">
        <w:rPr>
          <w:rFonts w:ascii="微软雅黑" w:eastAsia="微软雅黑" w:hAnsi="微软雅黑" w:cs="黑体" w:hint="eastAsia"/>
          <w:color w:val="000000"/>
          <w:sz w:val="21"/>
          <w:szCs w:val="21"/>
        </w:rPr>
        <w:t>未偿</w:t>
      </w:r>
      <w:proofErr w:type="gramEnd"/>
      <w:r w:rsidRPr="00156362">
        <w:rPr>
          <w:rFonts w:ascii="微软雅黑" w:eastAsia="微软雅黑" w:hAnsi="微软雅黑" w:cs="黑体" w:hint="eastAsia"/>
          <w:color w:val="000000"/>
          <w:sz w:val="21"/>
          <w:szCs w:val="21"/>
        </w:rPr>
        <w:t>还的贷款余额。</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法定优先受偿款，是实现抵押权时，已存在的依法优先于本次抵押贷款受偿的款额。包括3项：已抵押担保的债权数额、发包人拖欠承包人的建设工程价款、其他法定优先受偿款（已经存在），不包括为实现抵押权而发生的诉讼费用、估价费用、拍卖费用以及增值税及附加等费用和税金（还未发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4.房地产价格与一般物品价格的不同之处（P110～112）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（1）与区位密切相关；</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（2）实质上是权益的价格；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（3）同时有买卖价格和租赁价格；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（4）易受交易者的个别情况影响；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（5）形成的时间通常较长；</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（6）包含的内容复杂多样。</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5.完全产权价值、无租约限制价值、出租人权益价值和承租人权益价值</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（1）无租约限制价值，不考虑租赁因素影响情况下的价值。是完全产权价值，是房屋所有权和出让建设用地使用权在不受任何其他房地产权利等限制情况下的价值。</w:t>
      </w:r>
    </w:p>
    <w:p w:rsidR="004D3A0D" w:rsidRPr="00156362" w:rsidRDefault="004446B2"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出租人权益价值（有租约限制价值、带租约的价值），是指出租人对自己的已出租房地产依法享有的权益的价值。含：1）已出租部分租赁期内合同租金收益现值；2）未出租部分和已出租部分租赁期间届满市场租金收益现值。</w:t>
      </w: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高频考点（第四章）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1.主要原则：独立客观公正原则；合法原则；价值时点原则；替代原则；最高</w:t>
      </w:r>
      <w:proofErr w:type="gramStart"/>
      <w:r w:rsidRPr="00156362">
        <w:rPr>
          <w:rFonts w:ascii="微软雅黑" w:eastAsia="微软雅黑" w:hAnsi="微软雅黑" w:cs="黑体" w:hint="eastAsia"/>
          <w:color w:val="000000"/>
          <w:sz w:val="21"/>
          <w:szCs w:val="21"/>
        </w:rPr>
        <w:t>最佳利用</w:t>
      </w:r>
      <w:proofErr w:type="gramEnd"/>
      <w:r w:rsidRPr="00156362">
        <w:rPr>
          <w:rFonts w:ascii="微软雅黑" w:eastAsia="微软雅黑" w:hAnsi="微软雅黑" w:cs="黑体" w:hint="eastAsia"/>
          <w:color w:val="000000"/>
          <w:sz w:val="21"/>
          <w:szCs w:val="21"/>
        </w:rPr>
        <w:t>原则；谨慎原则；一致性原则；一贯性原则。（P153）</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合法原则在房屋征收估价中的运用在房屋征收评估中，被征收房屋的价值与被征收房屋的性质（如是合法建筑还是违法建筑，是永久建筑还是临时建筑，是未超过批准期限的临时建筑还是超过批准期限的临时建筑）、用途（如是居住用途还是商业用途）和面积（计不</w:t>
      </w:r>
      <w:r w:rsidRPr="00156362">
        <w:rPr>
          <w:rFonts w:ascii="微软雅黑" w:eastAsia="微软雅黑" w:hAnsi="微软雅黑" w:cs="黑体" w:hint="eastAsia"/>
          <w:color w:val="000000"/>
          <w:sz w:val="21"/>
          <w:szCs w:val="21"/>
        </w:rPr>
        <w:lastRenderedPageBreak/>
        <w:t>计算面积，计多少面积）等密切相关。例如，《国有土地上房屋征收与补偿条例》第二十四条规定：“对认定为合法建筑和未超期的临时建筑的，应当给予补偿；对认定为违法建筑和超期的临时建筑的，不予补偿。”</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违法建筑--</w:t>
      </w:r>
      <w:proofErr w:type="spellStart"/>
      <w:r w:rsidRPr="00156362">
        <w:rPr>
          <w:rFonts w:ascii="微软雅黑" w:eastAsia="微软雅黑" w:hAnsi="微软雅黑" w:cs="黑体" w:hint="eastAsia"/>
          <w:color w:val="000000"/>
          <w:sz w:val="21"/>
          <w:szCs w:val="21"/>
        </w:rPr>
        <w:t>fxgr</w:t>
      </w:r>
      <w:proofErr w:type="spellEnd"/>
      <w:r w:rsidRPr="00156362">
        <w:rPr>
          <w:rFonts w:ascii="微软雅黑" w:eastAsia="微软雅黑" w:hAnsi="微软雅黑" w:cs="黑体" w:hint="eastAsia"/>
          <w:color w:val="000000"/>
          <w:sz w:val="21"/>
          <w:szCs w:val="21"/>
        </w:rPr>
        <w:t>--超期临时建筑，就不应予以评估，或者评估价值应为零。</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被征收房屋价值评估必须明确被征收房屋的性质、用途和面积。房屋征收部门应当对房屋征收范围内房屋的权属、区位、用途、建筑面积等情况组织调查登记，被征收人应当予以配合。</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市、县级人民政府</w:t>
      </w:r>
      <w:proofErr w:type="gramStart"/>
      <w:r w:rsidRPr="00156362">
        <w:rPr>
          <w:rFonts w:ascii="微软雅黑" w:eastAsia="微软雅黑" w:hAnsi="微软雅黑" w:cs="黑体" w:hint="eastAsia"/>
          <w:color w:val="000000"/>
          <w:sz w:val="21"/>
          <w:szCs w:val="21"/>
        </w:rPr>
        <w:t>作出</w:t>
      </w:r>
      <w:proofErr w:type="gramEnd"/>
      <w:r w:rsidRPr="00156362">
        <w:rPr>
          <w:rFonts w:ascii="微软雅黑" w:eastAsia="微软雅黑" w:hAnsi="微软雅黑" w:cs="黑体" w:hint="eastAsia"/>
          <w:color w:val="000000"/>
          <w:sz w:val="21"/>
          <w:szCs w:val="21"/>
        </w:rPr>
        <w:t>房屋征收决定前，应当组织有关部门依法对征收范围内未经登记的建筑进行调查、认定和处理。</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屋征收评估前，房屋征收部门应当组织有关单位对被征收房屋情况进行调查，明确评估对象。评估对象应当全面、客观，不得遗漏、虚构。房屋征收部门应当向受托的房地产价格评估机构提供征收范围内房屋情况，包括已登记的房屋情况和未经登记建筑的认定、处理结果情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一贯性原则是指为同一估价目的，在不同时间对同一房地产再次或多次估价时，应采用相同的估价方法或对待方式进行估价。房地产投资信托基金物业价值评估、为财务报告服务的估价都应遵循一贯性原则。（P172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4.三大经济学原理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①收益递增递减原理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第一种投入产出关系——收益递减规律，也称为报酬递减规律、边际收益递减原理：假定仅有一种投入量可变，其他投入量保持不变，则随着该种可变投入量的增加，在开始时，产出量的增加有可能是递增的，但当这种可变投入量继续增加达到某一点以后，产出量的增加会越来越小，即会出现递减现象。如土地上施化肥。</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第二种投入产出关系</w:t>
      </w:r>
      <w:proofErr w:type="gramStart"/>
      <w:r w:rsidRPr="00156362">
        <w:rPr>
          <w:rFonts w:ascii="微软雅黑" w:eastAsia="微软雅黑" w:hAnsi="微软雅黑" w:cs="黑体" w:hint="eastAsia"/>
          <w:color w:val="000000"/>
          <w:sz w:val="21"/>
          <w:szCs w:val="21"/>
        </w:rPr>
        <w:t>—规模</w:t>
      </w:r>
      <w:proofErr w:type="gramEnd"/>
      <w:r w:rsidRPr="00156362">
        <w:rPr>
          <w:rFonts w:ascii="微软雅黑" w:eastAsia="微软雅黑" w:hAnsi="微软雅黑" w:cs="黑体" w:hint="eastAsia"/>
          <w:color w:val="000000"/>
          <w:sz w:val="21"/>
          <w:szCs w:val="21"/>
        </w:rPr>
        <w:t>收益或规模报酬规律：假定以相同的比例来增加所有的投入量，产出量的变化有三种可能：</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（1）规模收益不变——产出量的增加比例等于投入量的增加比例。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（2）规模收益递增——产出量的增加比例大于投入量的增加比例。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（3）规模收益递减——产出量的增加比例小于投入量的增加比例。在扩大规模时，先后经过规模收益递增阶段，规模收益不变阶段，规模收益递减阶段。</w:t>
      </w:r>
    </w:p>
    <w:p w:rsidR="004D3A0D" w:rsidRPr="00156362" w:rsidRDefault="004D3A0D" w:rsidP="007D35C8">
      <w:pPr>
        <w:spacing w:line="360" w:lineRule="auto"/>
        <w:rPr>
          <w:rFonts w:ascii="微软雅黑" w:eastAsia="微软雅黑" w:hAnsi="微软雅黑" w:cs="黑体"/>
          <w:szCs w:val="21"/>
        </w:rPr>
      </w:pPr>
    </w:p>
    <w:p w:rsidR="007D35C8" w:rsidRPr="00156362" w:rsidRDefault="007D35C8"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高频考点（第五章）</w:t>
      </w:r>
    </w:p>
    <w:p w:rsidR="004D3A0D" w:rsidRPr="00156362" w:rsidRDefault="004446B2" w:rsidP="007D35C8">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根据与估价对象相似的房地产的成交价格，求取估价对象价值或价格。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类似房地产，是指与估价对象的区位、用途、权利性质、档次、规模、建筑结构、新旧程度等相同或相近的房地产。</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可比实例是符合一定条件的类似房地产的交易实例，具体是指交易实例中，交易方式适合估价目的、成交日期接近价值时点、成交价格为正常价格或可修正为正常价格的估价对象的类似房地产等财产或相关权益。</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比较法的本质是以房地产的市场成交价格为导向（简称市场导向）来求取房地产的价值或价格。由于该方法是利用实际发生、经过市场“检验”的与估价对象相似的房地产的成交价格来求取估价对象的价值或价格，直接、直观、有说服力，测算结果易于被理解、认可或接受。</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2.统一财产范围（P184～185）</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（1）含有非房地产成份，统一到纯粹的房地产范围。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可比实例和估价对象相比，</w:t>
      </w:r>
      <w:proofErr w:type="gramStart"/>
      <w:r w:rsidRPr="00156362">
        <w:rPr>
          <w:rFonts w:ascii="微软雅黑" w:eastAsia="微软雅黑" w:hAnsi="微软雅黑" w:cs="黑体" w:hint="eastAsia"/>
          <w:color w:val="000000"/>
          <w:sz w:val="21"/>
          <w:szCs w:val="21"/>
        </w:rPr>
        <w:t>多减少</w:t>
      </w:r>
      <w:proofErr w:type="gramEnd"/>
      <w:r w:rsidRPr="00156362">
        <w:rPr>
          <w:rFonts w:ascii="微软雅黑" w:eastAsia="微软雅黑" w:hAnsi="微软雅黑" w:cs="黑体" w:hint="eastAsia"/>
          <w:color w:val="000000"/>
          <w:sz w:val="21"/>
          <w:szCs w:val="21"/>
        </w:rPr>
        <w:t>加——剥离；估价对象和可比实例相比，多加少减——还原。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（2）带有债权债务，统一到不带债权债务。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可比实例带有债权债务的：不带债权债务的房地产价格＝带有债权债务的房地产价格—债权＋债务估价对象带有债权债务的： 估价对象房地产价格＝不带债权债务的估价对象房地产价格＋债权—债务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3.造成成交价格偏离正常价格的因素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（1）利害关系人之间的交易；</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（2）对交易对象或市场行情缺乏了解的交易；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（3）被迫出售或被迫购买的交易；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（4）人为哄抬价格的交易；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（5）对交易对象有特殊偏好的交易；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（6）相邻房地产合并的交易（规模经济，外部效应内部化）；</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（7）受迷信影响的交易。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上述特殊交易情况下的交易实例不宜选为可比实例，但当合适的交易实例少于3个时，在掌握特殊交易情况且能量化其对成交价格影响的情况下，可将特殊交易情况下的交易实例选为可比实例，并对其进行交易情况修正。</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根据《房地产估价规范》，进行交易情况修正、市场状况调整、区位状况调整、实物状况调整、权益状况调整时，分别对可比实例成交价格的修正或调整幅度不宜超过20%，共同对可比实例成交价格的修正和调整幅度不宜超过30%；经修正和调整后的各个比较价值中，</w:t>
      </w:r>
      <w:proofErr w:type="gramStart"/>
      <w:r w:rsidRPr="00156362">
        <w:rPr>
          <w:rFonts w:ascii="微软雅黑" w:eastAsia="微软雅黑" w:hAnsi="微软雅黑" w:cs="黑体" w:hint="eastAsia"/>
          <w:color w:val="000000"/>
          <w:sz w:val="21"/>
          <w:szCs w:val="21"/>
        </w:rPr>
        <w:t>最</w:t>
      </w:r>
      <w:proofErr w:type="gramEnd"/>
      <w:r w:rsidRPr="00156362">
        <w:rPr>
          <w:rFonts w:ascii="微软雅黑" w:eastAsia="微软雅黑" w:hAnsi="微软雅黑" w:cs="黑体" w:hint="eastAsia"/>
          <w:color w:val="000000"/>
          <w:sz w:val="21"/>
          <w:szCs w:val="21"/>
        </w:rPr>
        <w:t>高价与最低价的比值不宜大于1.2.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5.房地产状况调整的方法</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房地产状况调整的方法有：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①直接比较调整、间接比较调整；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②总价调整、单价调整；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③金额调整、百分比调整；</w:t>
      </w:r>
    </w:p>
    <w:p w:rsidR="004D3A0D" w:rsidRPr="00156362" w:rsidRDefault="004446B2"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④加法调整、乘法调整。</w:t>
      </w: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高频考点（第六章）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1.收益期是预计在正常市场和运营状况下估价对象未来可获取净收益的时间，即</w:t>
      </w:r>
      <w:proofErr w:type="gramStart"/>
      <w:r w:rsidRPr="00156362">
        <w:rPr>
          <w:rFonts w:ascii="微软雅黑" w:eastAsia="微软雅黑" w:hAnsi="微软雅黑" w:cs="黑体" w:hint="eastAsia"/>
          <w:color w:val="000000"/>
          <w:sz w:val="21"/>
          <w:szCs w:val="21"/>
        </w:rPr>
        <w:t>自价值</w:t>
      </w:r>
      <w:proofErr w:type="gramEnd"/>
      <w:r w:rsidRPr="00156362">
        <w:rPr>
          <w:rFonts w:ascii="微软雅黑" w:eastAsia="微软雅黑" w:hAnsi="微软雅黑" w:cs="黑体" w:hint="eastAsia"/>
          <w:color w:val="000000"/>
          <w:sz w:val="21"/>
          <w:szCs w:val="21"/>
        </w:rPr>
        <w:t>时点起至估价对象未来不能获取净收益时止的时间。（P238）</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2.土地使用权剩余期限是</w:t>
      </w:r>
      <w:proofErr w:type="gramStart"/>
      <w:r w:rsidRPr="00156362">
        <w:rPr>
          <w:rFonts w:ascii="微软雅黑" w:eastAsia="微软雅黑" w:hAnsi="微软雅黑" w:cs="黑体" w:hint="eastAsia"/>
          <w:color w:val="000000"/>
          <w:sz w:val="21"/>
          <w:szCs w:val="21"/>
        </w:rPr>
        <w:t>自价值</w:t>
      </w:r>
      <w:proofErr w:type="gramEnd"/>
      <w:r w:rsidRPr="00156362">
        <w:rPr>
          <w:rFonts w:ascii="微软雅黑" w:eastAsia="微软雅黑" w:hAnsi="微软雅黑" w:cs="黑体" w:hint="eastAsia"/>
          <w:color w:val="000000"/>
          <w:sz w:val="21"/>
          <w:szCs w:val="21"/>
        </w:rPr>
        <w:t>时点起至土地使用权使用期限结束时止的时间。（P238）</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3.收益法估价的操作步骤（熟悉）（五步）</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①选择具体估价方法（报酬资本化法or直接资本化法）；</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②测算收益期或持有期；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③测算未来收益；</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④确定报酬率或资本化率、收益乘数；</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⑤计算收益价值。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4.地租的含义（熟悉）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狭义，指利用土地所获得的超额报酬。</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广义，指超额的工资、利息、利润及利用任何生产要素所获得的超额报酬。是土地生产要素的报酬。扣除了土地之外的其他生产要素的报酬的剩余。</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5.地租的测算（熟悉）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（1）计算公式：地租＝农产品市场价格－农产品销售税费－农产品生产成本－农产品运输成本－土地上投入资本的利息－农业经营者的利润。</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说明：</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公式中的土地上投入资本的利息不包括对应土地价值的资本的利息，如过去购置土地的费用，而是土地以外的投入资本的利息。</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（2）土地是在最佳用途下利用的——竞标地租理论。</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（3）土地是在最佳集约度下利用的——马克思级差地租Ⅱ理论，同一地块上连续追加投资，边际投资效率递减。</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（4）销售税费、生产成本、运输成本、资本利息、经营利润均是以社会平均或一般水平来扣除。</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（5）土地上生产的产品数量为Q，每个产品市场价格为P，则市场价格＝PQ.实际测算地租的具体方法4种：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——从房租中分离出地租</w:t>
      </w:r>
      <w:proofErr w:type="gramStart"/>
      <w:r w:rsidRPr="00156362">
        <w:rPr>
          <w:rFonts w:ascii="微软雅黑" w:eastAsia="微软雅黑" w:hAnsi="微软雅黑" w:cs="黑体" w:hint="eastAsia"/>
          <w:color w:val="000000"/>
          <w:sz w:val="21"/>
          <w:szCs w:val="21"/>
        </w:rPr>
        <w:t>地租</w:t>
      </w:r>
      <w:proofErr w:type="gramEnd"/>
      <w:r w:rsidRPr="00156362">
        <w:rPr>
          <w:rFonts w:ascii="微软雅黑" w:eastAsia="微软雅黑" w:hAnsi="微软雅黑" w:cs="黑体" w:hint="eastAsia"/>
          <w:color w:val="000000"/>
          <w:sz w:val="21"/>
          <w:szCs w:val="21"/>
        </w:rPr>
        <w:t>＝房租－房屋折旧费－维修费－管理费－投资利息－保险费－房地产税－租赁费用－租赁税费－利润。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——由地价求出地租，地租＝地价×资本化率。</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——采用比较法求出地租。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——采用类似假设开发法求出地租。</w:t>
      </w:r>
    </w:p>
    <w:p w:rsidR="004D3A0D" w:rsidRPr="00156362" w:rsidRDefault="004D3A0D"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高频考点（第七章）</w:t>
      </w:r>
    </w:p>
    <w:p w:rsidR="004D3A0D" w:rsidRPr="00156362" w:rsidRDefault="007D35C8" w:rsidP="007D35C8">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1、</w:t>
      </w:r>
      <w:r w:rsidR="004446B2" w:rsidRPr="00156362">
        <w:rPr>
          <w:rFonts w:ascii="微软雅黑" w:eastAsia="微软雅黑" w:hAnsi="微软雅黑" w:cs="黑体" w:hint="eastAsia"/>
          <w:color w:val="000000"/>
          <w:sz w:val="21"/>
          <w:szCs w:val="21"/>
        </w:rPr>
        <w:t>成本法适用的估价对象：新近开发建设完成的房地产、可以假设重新开发建设的现有房地产、正在开发建设的房地产、计划开发建设的房地产，都可以采用成本法估价。对于很少发生交易而限制了比较法运用，又没有经济收益或没有潜在经济收益而限制了收益法运用的房地产，如行政办公楼、学校、医院、图书馆、体育场馆、公园、军队营房等以公用、公益为目的的房地产，特别适用成本法估价。特殊厂房（如化工厂、钢铁厂、发电厂）、油田、码头、机场之类有独特设计或只针对特定使用者的特殊需要而开发建设的房地产，以及单独的建筑物或其装饰装修部分，通常也是采用成本法估价。</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在房地产保险（包括投保和理赔）和房地产损害赔偿中，往往也是采用成本法估价。（P286）</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2.成本法估价需要具备的条件</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需要具备两个条件：</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一是自由竞争（即可以自由进出市场）；</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二是该种房地产可以大量重复开发建设。</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注意下列3个问题：</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（1）应采用客观成本而不是实际成本。</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实际成本也称为个别成本，是购置估价对象的实际支出，或开发建设估价对象的实际支出</w:t>
      </w:r>
      <w:proofErr w:type="gramStart"/>
      <w:r w:rsidRPr="00156362">
        <w:rPr>
          <w:rFonts w:ascii="微软雅黑" w:eastAsia="微软雅黑" w:hAnsi="微软雅黑" w:cs="黑体" w:hint="eastAsia"/>
          <w:color w:val="000000"/>
          <w:sz w:val="21"/>
          <w:szCs w:val="21"/>
        </w:rPr>
        <w:t>及所得</w:t>
      </w:r>
      <w:proofErr w:type="gramEnd"/>
      <w:r w:rsidRPr="00156362">
        <w:rPr>
          <w:rFonts w:ascii="微软雅黑" w:eastAsia="微软雅黑" w:hAnsi="微软雅黑" w:cs="黑体" w:hint="eastAsia"/>
          <w:color w:val="000000"/>
          <w:sz w:val="21"/>
          <w:szCs w:val="21"/>
        </w:rPr>
        <w:t>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客观成本也称为正常成本，是购置估价对象的必要支出，或开发建设估价对象的必要支出及应得利润，或实际成本经剔除特殊的、偶然的因素后的成本。</w:t>
      </w:r>
    </w:p>
    <w:p w:rsidR="004D3A0D" w:rsidRPr="00156362" w:rsidRDefault="004446B2" w:rsidP="007D35C8">
      <w:pPr>
        <w:pStyle w:val="a6"/>
        <w:widowControl/>
        <w:numPr>
          <w:ilvl w:val="0"/>
          <w:numId w:val="4"/>
        </w:numPr>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在客观成本的基础上结合选址、规划设计等分析进行调整。现实中有一些选址不当或者规划设计不合理等造成不符合市场需求的房地产，如在人流量很小的地方建造的商场。虽然建造该商场花费费用巨大，但商场也不会有那么高的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（3）在客观成本的基础上结合市场供求分析进行调整。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3.物质折旧（P321）</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（1）可修复项目，修复成本就是折旧，修复成本是采用合理的修复方案恢复到新的或相当于新的状况的必要支出及应得利润。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（2）不可修复项目</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①短寿命项目，按照各自的寿命计算折旧。</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②长寿命项目，根据建筑物重新</w:t>
      </w:r>
      <w:proofErr w:type="gramStart"/>
      <w:r w:rsidRPr="00156362">
        <w:rPr>
          <w:rFonts w:ascii="微软雅黑" w:eastAsia="微软雅黑" w:hAnsi="微软雅黑" w:cs="黑体" w:hint="eastAsia"/>
          <w:color w:val="000000"/>
          <w:sz w:val="21"/>
          <w:szCs w:val="21"/>
        </w:rPr>
        <w:t>购建成</w:t>
      </w:r>
      <w:proofErr w:type="gramEnd"/>
      <w:r w:rsidRPr="00156362">
        <w:rPr>
          <w:rFonts w:ascii="微软雅黑" w:eastAsia="微软雅黑" w:hAnsi="微软雅黑" w:cs="黑体" w:hint="eastAsia"/>
          <w:color w:val="000000"/>
          <w:sz w:val="21"/>
          <w:szCs w:val="21"/>
        </w:rPr>
        <w:t>本减去</w:t>
      </w:r>
      <w:proofErr w:type="gramStart"/>
      <w:r w:rsidRPr="00156362">
        <w:rPr>
          <w:rFonts w:ascii="微软雅黑" w:eastAsia="微软雅黑" w:hAnsi="微软雅黑" w:cs="黑体" w:hint="eastAsia"/>
          <w:color w:val="000000"/>
          <w:sz w:val="21"/>
          <w:szCs w:val="21"/>
        </w:rPr>
        <w:t>各个可</w:t>
      </w:r>
      <w:proofErr w:type="gramEnd"/>
      <w:r w:rsidRPr="00156362">
        <w:rPr>
          <w:rFonts w:ascii="微软雅黑" w:eastAsia="微软雅黑" w:hAnsi="微软雅黑" w:cs="黑体" w:hint="eastAsia"/>
          <w:color w:val="000000"/>
          <w:sz w:val="21"/>
          <w:szCs w:val="21"/>
        </w:rPr>
        <w:t>修复项目的修复成本和短寿命项目的重新</w:t>
      </w:r>
      <w:proofErr w:type="gramStart"/>
      <w:r w:rsidRPr="00156362">
        <w:rPr>
          <w:rFonts w:ascii="微软雅黑" w:eastAsia="微软雅黑" w:hAnsi="微软雅黑" w:cs="黑体" w:hint="eastAsia"/>
          <w:color w:val="000000"/>
          <w:sz w:val="21"/>
          <w:szCs w:val="21"/>
        </w:rPr>
        <w:t>购建成</w:t>
      </w:r>
      <w:proofErr w:type="gramEnd"/>
      <w:r w:rsidRPr="00156362">
        <w:rPr>
          <w:rFonts w:ascii="微软雅黑" w:eastAsia="微软雅黑" w:hAnsi="微软雅黑" w:cs="黑体" w:hint="eastAsia"/>
          <w:color w:val="000000"/>
          <w:sz w:val="21"/>
          <w:szCs w:val="21"/>
        </w:rPr>
        <w:t>本后的余额、建筑物的有效年龄、经济寿命或剩余经济寿命，采用年限法计算其折旧额。</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4.开发利润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开发利润是房地产开发企业（或业主、建设单位）的利润，而不是建筑施工企业的利润（在建安成本中）。</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开发利润指土地增值税、企业所得税税前利润。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开发利润是该类房地产开发项目在正常条件下开发企业所能获得的平均利润，而不是个别开发企业最终实际获得的利润，也不是个别开发企业期望获得的利润。</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根据不同的基数，有不同的利润率指标。（利润率一般是通过大量调查同一市场上类似房地产开发项目的利润率得到的，比较法的原理）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noProof/>
          <w:color w:val="000000"/>
          <w:sz w:val="21"/>
          <w:szCs w:val="21"/>
        </w:rPr>
        <w:drawing>
          <wp:inline distT="0" distB="0" distL="114300" distR="114300">
            <wp:extent cx="4657725" cy="2266950"/>
            <wp:effectExtent l="0" t="0" r="9525" b="0"/>
            <wp:docPr id="32"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IMG_256"/>
                    <pic:cNvPicPr>
                      <a:picLocks noChangeAspect="1"/>
                    </pic:cNvPicPr>
                  </pic:nvPicPr>
                  <pic:blipFill>
                    <a:blip r:embed="rId9" cstate="print"/>
                    <a:stretch>
                      <a:fillRect/>
                    </a:stretch>
                  </pic:blipFill>
                  <pic:spPr>
                    <a:xfrm>
                      <a:off x="0" y="0"/>
                      <a:ext cx="4657725" cy="2266950"/>
                    </a:xfrm>
                    <a:prstGeom prst="rect">
                      <a:avLst/>
                    </a:prstGeom>
                    <a:noFill/>
                    <a:ln w="9525">
                      <a:noFill/>
                    </a:ln>
                  </pic:spPr>
                </pic:pic>
              </a:graphicData>
            </a:graphic>
          </wp:inline>
        </w:drawing>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直接成本利润率最大，其次是投资利润率，再次是成本利润率，销售利润率最小。</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直接成本好记，7个项目中，</w:t>
      </w:r>
      <w:proofErr w:type="gramStart"/>
      <w:r w:rsidRPr="00156362">
        <w:rPr>
          <w:rFonts w:ascii="微软雅黑" w:eastAsia="微软雅黑" w:hAnsi="微软雅黑" w:cs="黑体" w:hint="eastAsia"/>
          <w:color w:val="000000"/>
          <w:sz w:val="21"/>
          <w:szCs w:val="21"/>
        </w:rPr>
        <w:t>带成本</w:t>
      </w:r>
      <w:proofErr w:type="gramEnd"/>
      <w:r w:rsidRPr="00156362">
        <w:rPr>
          <w:rFonts w:ascii="微软雅黑" w:eastAsia="微软雅黑" w:hAnsi="微软雅黑" w:cs="黑体" w:hint="eastAsia"/>
          <w:color w:val="000000"/>
          <w:sz w:val="21"/>
          <w:szCs w:val="21"/>
        </w:rPr>
        <w:t>字眼的就2个，就是直接成本，销售利润率是按照开发完成后的全部价值计算的，包含全部7个项目。注意：</w:t>
      </w:r>
      <w:proofErr w:type="gramStart"/>
      <w:r w:rsidRPr="00156362">
        <w:rPr>
          <w:rFonts w:ascii="微软雅黑" w:eastAsia="微软雅黑" w:hAnsi="微软雅黑" w:cs="黑体" w:hint="eastAsia"/>
          <w:color w:val="000000"/>
          <w:sz w:val="21"/>
          <w:szCs w:val="21"/>
        </w:rPr>
        <w:t>算开发</w:t>
      </w:r>
      <w:proofErr w:type="gramEnd"/>
      <w:r w:rsidRPr="00156362">
        <w:rPr>
          <w:rFonts w:ascii="微软雅黑" w:eastAsia="微软雅黑" w:hAnsi="微软雅黑" w:cs="黑体" w:hint="eastAsia"/>
          <w:color w:val="000000"/>
          <w:sz w:val="21"/>
          <w:szCs w:val="21"/>
        </w:rPr>
        <w:t>利润时，开发利润也是销售利润率计算的项目。</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考试时主要考中间的两个，因为容易混淆。记忆窍门：投4成5，总共7个项目，女人“头饰”（头谐音投，投资利润率，</w:t>
      </w:r>
      <w:proofErr w:type="gramStart"/>
      <w:r w:rsidRPr="00156362">
        <w:rPr>
          <w:rFonts w:ascii="微软雅黑" w:eastAsia="微软雅黑" w:hAnsi="微软雅黑" w:cs="黑体" w:hint="eastAsia"/>
          <w:color w:val="000000"/>
          <w:sz w:val="21"/>
          <w:szCs w:val="21"/>
        </w:rPr>
        <w:t>取成本</w:t>
      </w:r>
      <w:proofErr w:type="gramEnd"/>
      <w:r w:rsidRPr="00156362">
        <w:rPr>
          <w:rFonts w:ascii="微软雅黑" w:eastAsia="微软雅黑" w:hAnsi="微软雅黑" w:cs="黑体" w:hint="eastAsia"/>
          <w:color w:val="000000"/>
          <w:sz w:val="21"/>
          <w:szCs w:val="21"/>
        </w:rPr>
        <w:t>项目的前4个）、男人“金城武”（城谐音成，成本利润率，</w:t>
      </w:r>
      <w:proofErr w:type="gramStart"/>
      <w:r w:rsidRPr="00156362">
        <w:rPr>
          <w:rFonts w:ascii="微软雅黑" w:eastAsia="微软雅黑" w:hAnsi="微软雅黑" w:cs="黑体" w:hint="eastAsia"/>
          <w:color w:val="000000"/>
          <w:sz w:val="21"/>
          <w:szCs w:val="21"/>
        </w:rPr>
        <w:t>取成本</w:t>
      </w:r>
      <w:proofErr w:type="gramEnd"/>
      <w:r w:rsidRPr="00156362">
        <w:rPr>
          <w:rFonts w:ascii="微软雅黑" w:eastAsia="微软雅黑" w:hAnsi="微软雅黑" w:cs="黑体" w:hint="eastAsia"/>
          <w:color w:val="000000"/>
          <w:sz w:val="21"/>
          <w:szCs w:val="21"/>
        </w:rPr>
        <w:t>项目的前5个；还有一个理解方法：投资的时候利息还没发生，所以不在投资成本中）。</w:t>
      </w:r>
    </w:p>
    <w:p w:rsidR="004D3A0D" w:rsidRPr="00156362" w:rsidRDefault="004D3A0D"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高频考点（第八章）</w:t>
      </w:r>
    </w:p>
    <w:p w:rsidR="004D3A0D" w:rsidRPr="00156362" w:rsidRDefault="004446B2" w:rsidP="007D35C8">
      <w:pPr>
        <w:pStyle w:val="a6"/>
        <w:widowControl/>
        <w:numPr>
          <w:ilvl w:val="0"/>
          <w:numId w:val="5"/>
        </w:numPr>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假设开发法的估价前提有3种：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（1）业主自行开发前提；</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（2）自愿转让开发前提；</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（3）被迫转让开发前提。一般情况下，自行开发前提下的价值＞自愿转让前提下的价值&gt;被迫转让前提下的价值。（P341～342）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在运用假设开发法时究竟应采用上述哪种估价前提进行估价，不是估价师可以随意假定的，必须根据估价目的和估价对象所处的实际情况来选择，并应在估价报告中充分说明理由。房地产抵押估价和房地产司法拍卖估价，一般应采用“被迫转让前提”。</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2.假设开发法的理论依据（1）理论依据——预期原理和地租原理（一次性的价格剩余）。</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（2）表现形式——评估新开发建设的房地产价值的成本法的倒算法。</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（3）假设开发法与成本法主要区别：</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①成本法中的土地价值为已知，需要求取的是开发完成后的房地产价值。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②假设开发法中，开发完成后的房地产价值通过预测得到，需要求取的是土地价值。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③起点和终点（已知和未知）刚好相反。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3.在调查、分析了房地产开发用地的状况和当地房地产市场状况后，便可以选取最佳的开发利用方式，包括选取最佳的用途、建筑规模、档次等。（P343）</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4.折现率（掌握）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◆与报酬资本化法中的报酬率的性质和求取方法相同。等同于同一市场上相同或相似的房地产开发项目所要求的平均报酬率。</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◆本质上体现了资金的利率和开发利润率两部分。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（用动态分析法时，利息和利润不需要再另外计算。包含在折现率中予以考虑）。</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5.测算中的其他有关问题假设开发法本质上是一种收益法，在上述测算中只讲了通常情况下的开发完成后的房地产价值，在实际估价中特别是评估投资价值时，有时还应考虑某些额外的收入、节省的费用或无形收益。</w:t>
      </w:r>
    </w:p>
    <w:p w:rsidR="007D35C8" w:rsidRPr="00156362" w:rsidRDefault="007D35C8"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156362">
        <w:rPr>
          <w:rStyle w:val="a7"/>
          <w:rFonts w:ascii="微软雅黑" w:eastAsia="微软雅黑" w:hAnsi="微软雅黑" w:cs="黑体" w:hint="eastAsia"/>
          <w:color w:val="000000"/>
          <w:sz w:val="21"/>
          <w:szCs w:val="21"/>
        </w:rPr>
        <w:t>a</w:t>
      </w: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高频考点（第九章）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Style w:val="a7"/>
          <w:rFonts w:ascii="微软雅黑" w:eastAsia="微软雅黑" w:hAnsi="微软雅黑" w:cs="黑体" w:hint="eastAsia"/>
          <w:color w:val="000000"/>
          <w:sz w:val="21"/>
          <w:szCs w:val="21"/>
        </w:rPr>
        <w:t xml:space="preserve">　　</w:t>
      </w:r>
      <w:r w:rsidRPr="00156362">
        <w:rPr>
          <w:rFonts w:ascii="微软雅黑" w:eastAsia="微软雅黑" w:hAnsi="微软雅黑" w:cs="黑体" w:hint="eastAsia"/>
          <w:color w:val="000000"/>
          <w:sz w:val="21"/>
          <w:szCs w:val="21"/>
        </w:rPr>
        <w:t>1.</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法是在城镇街道上划分</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区段并设定标准临街深度，在每个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区段内选取一定数量的标准临街宗地并测算其平均单价或楼面地价，利用相关调整系数将</w:t>
      </w:r>
      <w:proofErr w:type="gramStart"/>
      <w:r w:rsidRPr="00156362">
        <w:rPr>
          <w:rFonts w:ascii="微软雅黑" w:eastAsia="微软雅黑" w:hAnsi="微软雅黑" w:cs="黑体" w:hint="eastAsia"/>
          <w:color w:val="000000"/>
          <w:sz w:val="21"/>
          <w:szCs w:val="21"/>
        </w:rPr>
        <w:t>该平均</w:t>
      </w:r>
      <w:proofErr w:type="gramEnd"/>
      <w:r w:rsidRPr="00156362">
        <w:rPr>
          <w:rFonts w:ascii="微软雅黑" w:eastAsia="微软雅黑" w:hAnsi="微软雅黑" w:cs="黑体" w:hint="eastAsia"/>
          <w:color w:val="000000"/>
          <w:sz w:val="21"/>
          <w:szCs w:val="21"/>
        </w:rPr>
        <w:t>单价或楼面地价调整为各宗临街土地价值或价格的方法。（P363）</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法与比较法的不同：</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法不做交易情况修正和市场状况调整；</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先对多个可比实例价格进行综合，再进行房地产状况调整。（P364）</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3.划分</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区段（熟悉）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区段，是指具有相同</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的地段。</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划分原则：</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将“通达性相当、位置相邻、地价相近”的临街土地划为同一个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两个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区段的分界线，是地价水平有明显差异的地点，一般是从十字路或</w:t>
      </w:r>
      <w:proofErr w:type="gramStart"/>
      <w:r w:rsidRPr="00156362">
        <w:rPr>
          <w:rFonts w:ascii="微软雅黑" w:eastAsia="微软雅黑" w:hAnsi="微软雅黑" w:cs="黑体" w:hint="eastAsia"/>
          <w:color w:val="000000"/>
          <w:sz w:val="21"/>
          <w:szCs w:val="21"/>
        </w:rPr>
        <w:t>丁字路</w:t>
      </w:r>
      <w:proofErr w:type="gramEnd"/>
      <w:r w:rsidRPr="00156362">
        <w:rPr>
          <w:rFonts w:ascii="微软雅黑" w:eastAsia="微软雅黑" w:hAnsi="微软雅黑" w:cs="黑体" w:hint="eastAsia"/>
          <w:color w:val="000000"/>
          <w:sz w:val="21"/>
          <w:szCs w:val="21"/>
        </w:rPr>
        <w:t>中心处划分，两个路口之间的地段为一个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较长的繁华街道，两个路口之间的地段可以划分为两个以上的</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不繁华的街道，同一个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区段可延长至数个路口。</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同一条街道两侧的繁华程度、地价水平有明显差异的，应以街道中心为分界线，将该街道两侧视为不同的</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区段，分别附设不同的路线价。同一街道可以有两个不同的路线价。</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4.平均增减量法适用条件：房地产价格的变动过程是持续上升或下降，并且各期上升或下降的数额大致接近。</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标准价调整法是对估价范围内的所有被估价房地产进行分组，使同一组内的房地产具有相似性，在每组内选定或设定标准房地产并测算其价值或价格，利用有关调整系数将标准房地产价值或价格调整为各宗被估价房地产价值或价格的方法。标准价调整法是一种批量估价方法，主要用于存量房交易税收估价和房地产税计税价值评估。（P378）</w:t>
      </w:r>
    </w:p>
    <w:p w:rsidR="004D3A0D" w:rsidRPr="00156362" w:rsidRDefault="004D3A0D"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房估《理论与方法》</w:t>
      </w:r>
      <w:proofErr w:type="gramEnd"/>
      <w:r w:rsidRPr="00156362">
        <w:rPr>
          <w:rStyle w:val="a7"/>
          <w:rFonts w:ascii="微软雅黑" w:eastAsia="微软雅黑" w:hAnsi="微软雅黑" w:cs="黑体" w:hint="eastAsia"/>
          <w:color w:val="000000"/>
          <w:sz w:val="21"/>
          <w:szCs w:val="21"/>
        </w:rPr>
        <w:t>高频考点（第十章）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1.估价程序作用：规范估价行为；保证估价质量；提高估价效率；防范估价风险。（P396）</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2.估价基本事项概述4个：估价目的、估价对象、价值时点和价值类型。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估价基本事项不能明确的责任，主要在估价师。</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估价基本事项之间的关系。估价目的是龙头。它决定估价对象、价值时点和价值类型。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法律、法规规定不得抵押的房地产，不应作为抵押估价目的的估价对象。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不能独立使用、处分的房地产，不宜作为抵押物，一般不具有抵押价值，不宜作为抵押估价目的的估价对象。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估价对象与价值时点有关。确定价值时点一般应在确定具体的估价对象之前。价值时点不同，估价对象的具体状况可能不同。</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3.档案保存期限（P424）</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（1）自估价报告出具日期起算，估价资料的保存期限不少于15年；属于法定评估业务的，保存期限不少于30年。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（2）估价资料保存已超过15年或30年而估价服务的行为尚未结束的，应当保存到估价服务的行为结束。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（3）估价机构终止的，其估价报告及相关资料应当移交当地建设（房地产）行政主管部门或者其指定的机构。</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4.4.估价师对资料的质疑《资产评估法》第十二条，估价师有权要求委托人提供相关的权属证明、财务会计信息和其他资料。</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《资产评估法》第十八条，委托人拒绝提供或</w:t>
      </w:r>
      <w:proofErr w:type="gramStart"/>
      <w:r w:rsidRPr="00156362">
        <w:rPr>
          <w:rFonts w:ascii="微软雅黑" w:eastAsia="微软雅黑" w:hAnsi="微软雅黑" w:cs="黑体" w:hint="eastAsia"/>
          <w:color w:val="000000"/>
          <w:sz w:val="21"/>
          <w:szCs w:val="21"/>
        </w:rPr>
        <w:t>不</w:t>
      </w:r>
      <w:proofErr w:type="gramEnd"/>
      <w:r w:rsidRPr="00156362">
        <w:rPr>
          <w:rFonts w:ascii="微软雅黑" w:eastAsia="微软雅黑" w:hAnsi="微软雅黑" w:cs="黑体" w:hint="eastAsia"/>
          <w:color w:val="000000"/>
          <w:sz w:val="21"/>
          <w:szCs w:val="21"/>
        </w:rPr>
        <w:t>如实提供执行估价业务所需的估价对象权属证明、财务会计信息和其他资料的，估价机构有权依法拒绝其履行估价委托合同的要求，终止估价程序。</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虽然通常会在估价委托合同中要求委托人如实提供其知悉的估价所需资料，并保证其提供的资料是真实、完整、合法及准确的，没有隐匿或虚报的情况，甚至《资产评估法》第二</w:t>
      </w:r>
      <w:r w:rsidRPr="00156362">
        <w:rPr>
          <w:rFonts w:ascii="微软雅黑" w:eastAsia="微软雅黑" w:hAnsi="微软雅黑" w:cs="黑体" w:hint="eastAsia"/>
          <w:color w:val="000000"/>
          <w:sz w:val="21"/>
          <w:szCs w:val="21"/>
        </w:rPr>
        <w:lastRenderedPageBreak/>
        <w:t>十三条规定“委托人应当对其提供的权属证明、财务会计信息和其他资料的真实性、完整性和合法性负责”，但估价师也要合理怀疑委托人提供的资料的真实性、完整性、合法性和准确性，对其提供的资料应进行检查。</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对自己收集的资料也应进行检查。当委托人是估价对象权利人的，应查看估价对象的权属证明原件，并将复印件与原件核对，不得仅凭复印件判断或假定估价对象的权属状况。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当为</w:t>
      </w:r>
      <w:proofErr w:type="gramStart"/>
      <w:r w:rsidRPr="00156362">
        <w:rPr>
          <w:rFonts w:ascii="微软雅黑" w:eastAsia="微软雅黑" w:hAnsi="微软雅黑" w:cs="黑体" w:hint="eastAsia"/>
          <w:color w:val="000000"/>
          <w:sz w:val="21"/>
          <w:szCs w:val="21"/>
        </w:rPr>
        <w:t>鉴证</w:t>
      </w:r>
      <w:proofErr w:type="gramEnd"/>
      <w:r w:rsidRPr="00156362">
        <w:rPr>
          <w:rFonts w:ascii="微软雅黑" w:eastAsia="微软雅黑" w:hAnsi="微软雅黑" w:cs="黑体" w:hint="eastAsia"/>
          <w:color w:val="000000"/>
          <w:sz w:val="21"/>
          <w:szCs w:val="21"/>
        </w:rPr>
        <w:t>性估价的，应依法对收集的作为估价依据的资料进行核查验证。</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资料收集后，应及时进行分析整理，以便需要时查阅和使用。</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实地查勘估价对象的工作内容感受区位优劣、核对估价对象具体情况、观察估价对象内外部情况、询问、调查估价对象的历史使用状况、拍摄影像资料、调查历史使用状况、周边及当地同类房地产市场行情、补充收集资料。</w:t>
      </w:r>
    </w:p>
    <w:sectPr w:rsidR="004D3A0D" w:rsidRPr="00156362" w:rsidSect="004D3A0D">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814" w:rsidRDefault="00D31814" w:rsidP="004D3A0D">
      <w:r>
        <w:separator/>
      </w:r>
    </w:p>
  </w:endnote>
  <w:endnote w:type="continuationSeparator" w:id="0">
    <w:p w:rsidR="00D31814" w:rsidRDefault="00D31814" w:rsidP="004D3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4D3A0D" w:rsidRDefault="004446B2">
            <w:pPr>
              <w:pStyle w:val="a4"/>
              <w:jc w:val="center"/>
              <w:rPr>
                <w:b/>
                <w:sz w:val="24"/>
                <w:szCs w:val="24"/>
              </w:rPr>
            </w:pPr>
            <w:r>
              <w:rPr>
                <w:lang w:val="zh-CN"/>
              </w:rPr>
              <w:t xml:space="preserve"> </w:t>
            </w:r>
            <w:r w:rsidR="008E435E">
              <w:rPr>
                <w:b/>
                <w:sz w:val="24"/>
                <w:szCs w:val="24"/>
              </w:rPr>
              <w:fldChar w:fldCharType="begin"/>
            </w:r>
            <w:r>
              <w:rPr>
                <w:b/>
              </w:rPr>
              <w:instrText>PAGE</w:instrText>
            </w:r>
            <w:r w:rsidR="008E435E">
              <w:rPr>
                <w:b/>
                <w:sz w:val="24"/>
                <w:szCs w:val="24"/>
              </w:rPr>
              <w:fldChar w:fldCharType="separate"/>
            </w:r>
            <w:r w:rsidR="00801BD1">
              <w:rPr>
                <w:b/>
                <w:noProof/>
              </w:rPr>
              <w:t>22</w:t>
            </w:r>
            <w:r w:rsidR="008E435E">
              <w:rPr>
                <w:b/>
                <w:sz w:val="24"/>
                <w:szCs w:val="24"/>
              </w:rPr>
              <w:fldChar w:fldCharType="end"/>
            </w:r>
            <w:r>
              <w:rPr>
                <w:lang w:val="zh-CN"/>
              </w:rPr>
              <w:t xml:space="preserve"> / </w:t>
            </w:r>
            <w:r w:rsidR="008E435E">
              <w:rPr>
                <w:b/>
                <w:sz w:val="24"/>
                <w:szCs w:val="24"/>
              </w:rPr>
              <w:fldChar w:fldCharType="begin"/>
            </w:r>
            <w:r>
              <w:rPr>
                <w:b/>
              </w:rPr>
              <w:instrText>NUMPAGES</w:instrText>
            </w:r>
            <w:r w:rsidR="008E435E">
              <w:rPr>
                <w:b/>
                <w:sz w:val="24"/>
                <w:szCs w:val="24"/>
              </w:rPr>
              <w:fldChar w:fldCharType="separate"/>
            </w:r>
            <w:r w:rsidR="00801BD1">
              <w:rPr>
                <w:b/>
                <w:noProof/>
              </w:rPr>
              <w:t>22</w:t>
            </w:r>
            <w:r w:rsidR="008E435E">
              <w:rPr>
                <w:b/>
                <w:sz w:val="24"/>
                <w:szCs w:val="24"/>
              </w:rPr>
              <w:fldChar w:fldCharType="end"/>
            </w:r>
          </w:p>
          <w:p w:rsidR="004D3A0D" w:rsidRDefault="004D3A0D">
            <w:pPr>
              <w:pStyle w:val="a4"/>
              <w:jc w:val="center"/>
              <w:rPr>
                <w:b/>
                <w:sz w:val="24"/>
                <w:szCs w:val="24"/>
              </w:rPr>
            </w:pPr>
          </w:p>
          <w:p w:rsidR="004D3A0D" w:rsidRDefault="004446B2">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4D3A0D" w:rsidRDefault="004446B2">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4D3A0D" w:rsidRDefault="004D3A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814" w:rsidRDefault="00D31814" w:rsidP="004D3A0D">
      <w:r>
        <w:separator/>
      </w:r>
    </w:p>
  </w:footnote>
  <w:footnote w:type="continuationSeparator" w:id="0">
    <w:p w:rsidR="00D31814" w:rsidRDefault="00D31814" w:rsidP="004D3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A0D" w:rsidRDefault="004446B2">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A0D" w:rsidRDefault="004446B2">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A0D" w:rsidRDefault="004446B2">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8710CC"/>
    <w:multiLevelType w:val="singleLevel"/>
    <w:tmpl w:val="B38710CC"/>
    <w:lvl w:ilvl="0">
      <w:start w:val="1"/>
      <w:numFmt w:val="decimal"/>
      <w:lvlText w:val="%1."/>
      <w:lvlJc w:val="left"/>
      <w:pPr>
        <w:tabs>
          <w:tab w:val="left" w:pos="312"/>
        </w:tabs>
        <w:ind w:left="480" w:firstLine="0"/>
      </w:pPr>
    </w:lvl>
  </w:abstractNum>
  <w:abstractNum w:abstractNumId="1">
    <w:nsid w:val="21DEF111"/>
    <w:multiLevelType w:val="singleLevel"/>
    <w:tmpl w:val="21DEF111"/>
    <w:lvl w:ilvl="0">
      <w:start w:val="1"/>
      <w:numFmt w:val="decimal"/>
      <w:lvlText w:val="%1."/>
      <w:lvlJc w:val="left"/>
      <w:pPr>
        <w:tabs>
          <w:tab w:val="left" w:pos="312"/>
        </w:tabs>
      </w:pPr>
    </w:lvl>
  </w:abstractNum>
  <w:abstractNum w:abstractNumId="2">
    <w:nsid w:val="50CAF69F"/>
    <w:multiLevelType w:val="singleLevel"/>
    <w:tmpl w:val="50CAF69F"/>
    <w:lvl w:ilvl="0">
      <w:start w:val="1"/>
      <w:numFmt w:val="decimal"/>
      <w:lvlText w:val="%1."/>
      <w:lvlJc w:val="left"/>
      <w:pPr>
        <w:tabs>
          <w:tab w:val="left" w:pos="312"/>
        </w:tabs>
        <w:ind w:left="480" w:firstLine="0"/>
      </w:pPr>
    </w:lvl>
  </w:abstractNum>
  <w:abstractNum w:abstractNumId="3">
    <w:nsid w:val="5B97C539"/>
    <w:multiLevelType w:val="singleLevel"/>
    <w:tmpl w:val="5B97C539"/>
    <w:lvl w:ilvl="0">
      <w:start w:val="2"/>
      <w:numFmt w:val="decimal"/>
      <w:suff w:val="nothing"/>
      <w:lvlText w:val="（%1）"/>
      <w:lvlJc w:val="left"/>
      <w:pPr>
        <w:ind w:left="480" w:firstLine="0"/>
      </w:pPr>
    </w:lvl>
  </w:abstractNum>
  <w:abstractNum w:abstractNumId="4">
    <w:nsid w:val="786FCE5F"/>
    <w:multiLevelType w:val="singleLevel"/>
    <w:tmpl w:val="786FCE5F"/>
    <w:lvl w:ilvl="0">
      <w:start w:val="1"/>
      <w:numFmt w:val="decimal"/>
      <w:lvlText w:val="%1."/>
      <w:lvlJc w:val="left"/>
      <w:pPr>
        <w:tabs>
          <w:tab w:val="left" w:pos="312"/>
        </w:tabs>
        <w:ind w:left="480" w:firstLine="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156362"/>
    <w:rsid w:val="004446B2"/>
    <w:rsid w:val="004D3A0D"/>
    <w:rsid w:val="0079182D"/>
    <w:rsid w:val="007D35C8"/>
    <w:rsid w:val="00801BD1"/>
    <w:rsid w:val="008555E3"/>
    <w:rsid w:val="008E435E"/>
    <w:rsid w:val="00BF2112"/>
    <w:rsid w:val="00BF37DF"/>
    <w:rsid w:val="00CD1EA8"/>
    <w:rsid w:val="00D31814"/>
    <w:rsid w:val="00EA6440"/>
    <w:rsid w:val="00FA1F8A"/>
    <w:rsid w:val="08A159D8"/>
    <w:rsid w:val="137A6CAA"/>
    <w:rsid w:val="27FB2614"/>
    <w:rsid w:val="2ADD3575"/>
    <w:rsid w:val="2CE00D48"/>
    <w:rsid w:val="3394577A"/>
    <w:rsid w:val="3EEB540E"/>
    <w:rsid w:val="40EF4287"/>
    <w:rsid w:val="46DF5A91"/>
    <w:rsid w:val="472A46BC"/>
    <w:rsid w:val="483464AB"/>
    <w:rsid w:val="4F1B6354"/>
    <w:rsid w:val="4FA8738A"/>
    <w:rsid w:val="50F16439"/>
    <w:rsid w:val="51813C26"/>
    <w:rsid w:val="541F66CD"/>
    <w:rsid w:val="54FE03FB"/>
    <w:rsid w:val="55032C6F"/>
    <w:rsid w:val="5A8C17E0"/>
    <w:rsid w:val="5C59669C"/>
    <w:rsid w:val="60374BE2"/>
    <w:rsid w:val="63696CA7"/>
    <w:rsid w:val="6EDF3D9D"/>
    <w:rsid w:val="6FAA3F7C"/>
    <w:rsid w:val="70C93E50"/>
    <w:rsid w:val="760B7AFD"/>
    <w:rsid w:val="783B2023"/>
    <w:rsid w:val="7CEA5DB0"/>
    <w:rsid w:val="7D654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A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D3A0D"/>
    <w:rPr>
      <w:sz w:val="18"/>
      <w:szCs w:val="18"/>
    </w:rPr>
  </w:style>
  <w:style w:type="paragraph" w:styleId="a4">
    <w:name w:val="footer"/>
    <w:basedOn w:val="a"/>
    <w:link w:val="Char0"/>
    <w:uiPriority w:val="99"/>
    <w:unhideWhenUsed/>
    <w:qFormat/>
    <w:rsid w:val="004D3A0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D3A0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4D3A0D"/>
    <w:pPr>
      <w:spacing w:beforeAutospacing="1" w:afterAutospacing="1"/>
      <w:jc w:val="left"/>
    </w:pPr>
    <w:rPr>
      <w:rFonts w:cs="Times New Roman"/>
      <w:kern w:val="0"/>
      <w:sz w:val="24"/>
    </w:rPr>
  </w:style>
  <w:style w:type="character" w:styleId="a7">
    <w:name w:val="Strong"/>
    <w:basedOn w:val="a0"/>
    <w:qFormat/>
    <w:rsid w:val="004D3A0D"/>
    <w:rPr>
      <w:b/>
    </w:rPr>
  </w:style>
  <w:style w:type="character" w:styleId="a8">
    <w:name w:val="Hyperlink"/>
    <w:basedOn w:val="a0"/>
    <w:uiPriority w:val="99"/>
    <w:semiHidden/>
    <w:unhideWhenUsed/>
    <w:qFormat/>
    <w:rsid w:val="004D3A0D"/>
    <w:rPr>
      <w:color w:val="0000FF"/>
      <w:u w:val="single"/>
    </w:rPr>
  </w:style>
  <w:style w:type="character" w:customStyle="1" w:styleId="Char1">
    <w:name w:val="页眉 Char"/>
    <w:basedOn w:val="a0"/>
    <w:link w:val="a5"/>
    <w:uiPriority w:val="99"/>
    <w:semiHidden/>
    <w:rsid w:val="004D3A0D"/>
    <w:rPr>
      <w:sz w:val="18"/>
      <w:szCs w:val="18"/>
    </w:rPr>
  </w:style>
  <w:style w:type="character" w:customStyle="1" w:styleId="Char0">
    <w:name w:val="页脚 Char"/>
    <w:basedOn w:val="a0"/>
    <w:link w:val="a4"/>
    <w:uiPriority w:val="99"/>
    <w:qFormat/>
    <w:rsid w:val="004D3A0D"/>
    <w:rPr>
      <w:sz w:val="18"/>
      <w:szCs w:val="18"/>
    </w:rPr>
  </w:style>
  <w:style w:type="character" w:customStyle="1" w:styleId="Char">
    <w:name w:val="批注框文本 Char"/>
    <w:basedOn w:val="a0"/>
    <w:link w:val="a3"/>
    <w:uiPriority w:val="99"/>
    <w:semiHidden/>
    <w:qFormat/>
    <w:rsid w:val="004D3A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1411</Words>
  <Characters>8045</Characters>
  <Application>Microsoft Office Word</Application>
  <DocSecurity>0</DocSecurity>
  <Lines>67</Lines>
  <Paragraphs>18</Paragraphs>
  <ScaleCrop>false</ScaleCrop>
  <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2018-08-20T06:37:00Z</dcterms:created>
  <dcterms:modified xsi:type="dcterms:W3CDTF">2018-10-17T01:37:00Z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