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50D" w:rsidRPr="00F04162" w:rsidRDefault="00FC6E42" w:rsidP="00F04162">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proofErr w:type="gramStart"/>
      <w:r w:rsidRPr="00F04162">
        <w:rPr>
          <w:rStyle w:val="a7"/>
          <w:rFonts w:ascii="微软雅黑" w:eastAsia="微软雅黑" w:hAnsi="微软雅黑" w:cs="黑体" w:hint="eastAsia"/>
          <w:color w:val="000000"/>
          <w:sz w:val="28"/>
          <w:szCs w:val="28"/>
        </w:rPr>
        <w:t>房估《相关知识》</w:t>
      </w:r>
      <w:proofErr w:type="gramEnd"/>
      <w:r w:rsidRPr="00F04162">
        <w:rPr>
          <w:rStyle w:val="a7"/>
          <w:rFonts w:ascii="微软雅黑" w:eastAsia="微软雅黑" w:hAnsi="微软雅黑" w:cs="黑体" w:hint="eastAsia"/>
          <w:color w:val="000000"/>
          <w:sz w:val="28"/>
          <w:szCs w:val="28"/>
        </w:rPr>
        <w:t>高频考点</w:t>
      </w: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高频考点（第一章）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1.城市发展战略的主要内容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（1）经济发展目标（GDP、人均国民收入、产业结构比例等）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（2）社会发展目标（人口总量，人口构成，居民生活水平和人口素质指标等）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（3）建设水平目标（建设规模，土地利用结构、人际环境质量和基础设施水平等）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2.城市规划是建设城市和管理城市的基本依据，是保证城市空间资源有效配置和土地合理利用的前提和基础，是实现城市经济和社会发展目标的重要手段之一。（P4）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3.城市规划的作用：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（1）是国家对城市建设进行宏观调控的手段；</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（2）是政策形成和实施的工具；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（3）形成了城市未来的空间架构。（P5）</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4.城市规划的任务：</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（1）确定城市的规模和发展方向，实现城市的经济和社会发展目标。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（2）从城市的整体和长远利益出发，合理和有序地配置城市空间资源。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（3）通过空间资源配置，提高城市的运作效率，促进经济和社会发展。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（4）确保城市经济和社会发展与生态环境相协调，增强城市发展的可持续性。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（5）建立各种引导机制和控制规则，确保各项建设活动与城市发展目标相一致。（P5）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5.居住区规划的任务和内容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（1）居住区规划的任务创造一个满足日常物质和文化生活需要的舒适、方便、卫生、安宁和优美的环境。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居住区规划的内容选择、确定用地的位置和范围；确定规模，人口和用地；拟定居住建筑类型、层数比例、数量、布置方式；拟定公共服务设施的内容，规模、数量、分布和布置方式；拟定各级道路的宽度、断面形式、布置方式；拟定公共绿地的数量、分布和布置方式；拟定有关的工程规划设计方案；拟定各项技术经济指标和造价估算。</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高频考点（第二章）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1.环境污染</w:t>
      </w:r>
      <w:proofErr w:type="gramStart"/>
      <w:r w:rsidRPr="00F04162">
        <w:rPr>
          <w:rFonts w:ascii="微软雅黑" w:eastAsia="微软雅黑" w:hAnsi="微软雅黑" w:cs="黑体" w:hint="eastAsia"/>
          <w:color w:val="000000"/>
          <w:sz w:val="21"/>
          <w:szCs w:val="21"/>
        </w:rPr>
        <w:t>源造成</w:t>
      </w:r>
      <w:proofErr w:type="gramEnd"/>
      <w:r w:rsidRPr="00F04162">
        <w:rPr>
          <w:rFonts w:ascii="微软雅黑" w:eastAsia="微软雅黑" w:hAnsi="微软雅黑" w:cs="黑体" w:hint="eastAsia"/>
          <w:color w:val="000000"/>
          <w:sz w:val="21"/>
          <w:szCs w:val="21"/>
        </w:rPr>
        <w:t>环境污染的发生源或环境污染的来源（场所、设备和装置）。</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（1）按照污染物发生的类型，可分为工业污染源、交通污染源、农业污染源和生活污染源。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（2）按照污染源存在的形式，可分为固定污染源和移动污染源。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（3）按照污染物排放的形式，可分为点源、线源和面源。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（4）按照污染物排放的空间，可分为高架源和地面源。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（5）按照污染物排放的时间，可以分为连续源、间断源和瞬时源。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（6）按照污染源存在的时间，可分为暂时性污染源和永久性污染源。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2.环境噪声污染源：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（1）工业噪声的发生源有两类：一类是气动源；另一类是机械动源。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（2）交通噪声其特点是声源面广而不固定。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（3）建筑施工噪声是建筑工地的各种施工机械产生的噪声。这种噪声具有突发性、冲击性、不连续性等特点。（P57）</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3.环境噪声标准：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（1）0类声环境功能区：指康复疗养区等特别需要安静的区域。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（2）1类声环境功能区：指以居民住宅、医疗卫生、文化体育、科研设计、行政办公为主要功能，需要保持安静的区域。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（3）2类声环境功能区：指以商业金融、集市贸易为主要功能，或者居住、商业、工业混杂，需要维护住宅安静的区域。</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（4）3类声环境功能区：指以工业生产、仓储物流为主要功能，需要防止工业噪声对周围环境产生严重影响的区域。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（5）4类声环境功能区：指交通干线两侧一定区域之内，需要防止交通噪声对周围环境产生严重影响的区域，包括4a类和4b类两种类型。4a类为高速公路、一级公路、二级</w:t>
      </w:r>
      <w:r w:rsidRPr="00F04162">
        <w:rPr>
          <w:rFonts w:ascii="微软雅黑" w:eastAsia="微软雅黑" w:hAnsi="微软雅黑" w:cs="黑体" w:hint="eastAsia"/>
          <w:color w:val="000000"/>
          <w:sz w:val="21"/>
          <w:szCs w:val="21"/>
        </w:rPr>
        <w:lastRenderedPageBreak/>
        <w:t>公路、城市快速路、城市主干路、城市次干路、城市轨道交通（地面段）、内河航道两侧区域；4b类为铁路干线两侧区开域。（P58）</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4.水污染物及其危害主要有：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（1）植物营养物及其危害：植物营养物主要指氮、磷、钾、硫及其化合物；危害：使水质恶化、危害人体健康和影响渔业发展。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（2）酚类化合物及其危害：</w:t>
      </w:r>
      <w:proofErr w:type="gramStart"/>
      <w:r w:rsidRPr="00F04162">
        <w:rPr>
          <w:rFonts w:ascii="微软雅黑" w:eastAsia="微软雅黑" w:hAnsi="微软雅黑" w:cs="黑体" w:hint="eastAsia"/>
          <w:color w:val="000000"/>
          <w:sz w:val="21"/>
          <w:szCs w:val="21"/>
        </w:rPr>
        <w:t>酚</w:t>
      </w:r>
      <w:proofErr w:type="gramEnd"/>
      <w:r w:rsidRPr="00F04162">
        <w:rPr>
          <w:rFonts w:ascii="微软雅黑" w:eastAsia="微软雅黑" w:hAnsi="微软雅黑" w:cs="黑体" w:hint="eastAsia"/>
          <w:color w:val="000000"/>
          <w:sz w:val="21"/>
          <w:szCs w:val="21"/>
        </w:rPr>
        <w:t>有毒性，污染水后，将严重影响水产品的产量和质量；人体经常摄入会产生慢性中毒，呕吐、腹泻等症状。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（3）氰化物及其危害：氰化物是剧毒物质。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（4）酸碱及其危害：酸碱废水破坏水的自净功能，腐蚀管道和船舶；引起水质逐渐恶化，周围土壤酸碱化。</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（5）放射性物质及其危害：水体所含有的放射性物质构成一种特殊的污染，总称为放射性辐射污染；最危险的放射性物质是锶、铯等；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（6）病原微生物及其危害：病原微生物有病菌、病毒和寄生虫三类。</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高频考点（第三章）</w:t>
      </w:r>
    </w:p>
    <w:p w:rsidR="006A250D" w:rsidRPr="00F04162" w:rsidRDefault="00FC6E42" w:rsidP="006F3EE2">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建筑平面设计用以满足建筑的使用功能的平面要求，包括建筑物的内部使用空间和交通联系空间的设计是建筑平面设计的一个重要内容。建筑平面设计的另一个重要内容是通过建筑功能分析形成建筑物的平面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（1）走廊式组合；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（2）套间式组合；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（3）大厅式组合。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2.按建筑承重受力方式分类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（1）墙承重结构形式的建筑物：砖混结构的住宅、办公楼、宿舍；高层建筑中剪力墙式建筑物；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（2）构架式承重结构的建筑物：古式的砖木结构、现代的钢筋混凝土框架结构、单层工业厂房的排架结构、用型钢材料构成的钢结构；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（3）筒体结构或框架筒体结构的建筑物：高层建筑和超高层建筑；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（4）大空间结构的建筑物：体育馆、游泳馆、大剧场。（P70）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3.比例尺的选用：建筑和设备工程图纸注明比例尺。一个图形一般只采用一种比例尺。结构施工图一般不注比例尺，允许一个图形使用两种比例尺。总图以米为单位，其余均以毫米为单位。（P72）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4.楼、地面楼面和地面的构造层次一般有：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（1）基层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（2）垫层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（3）填充层</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（4）找平层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（5）面层和结合层面层根据不同的材料而定名：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①水泥类的面层有水泥混凝土面层、水泥砂浆面层、水磨石面层、水泥石子无砂面层、水泥钢屑面层等；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②块材面层有条石面层、缸砖面层、陶瓷地砖面层、陶瓷锦砖面层、大理石面层、磨光花岗石面层等；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③其他面层有木板面层、塑料面层、沥青砂浆及沥青混凝土面层、菱苦土面层、不发火（防爆）面层等。</w:t>
      </w:r>
    </w:p>
    <w:p w:rsidR="006A250D" w:rsidRPr="00F04162" w:rsidRDefault="006A250D" w:rsidP="006F3EE2">
      <w:pPr>
        <w:spacing w:line="360" w:lineRule="auto"/>
        <w:rPr>
          <w:rFonts w:ascii="微软雅黑" w:eastAsia="微软雅黑" w:hAnsi="微软雅黑" w:cs="黑体"/>
          <w:szCs w:val="21"/>
        </w:rPr>
      </w:pP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高频考点（第四章）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1.工程量清单计价法（注意与传统的定额计价法区分）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（1）工程量清单——是拟建工程的分部分项工程项目、措施项目、其他项目、</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费项目和税金项目的名称和相应数量等的明细清单。纯国有资金投资或国有资金投资为主的工程建设项目，必须采用工程量清单计价。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2.工程项目的划分建设项目是指在一个场地或几个场地上，按照一个总体设计进行施工、</w:t>
      </w:r>
      <w:proofErr w:type="gramStart"/>
      <w:r w:rsidRPr="00F04162">
        <w:rPr>
          <w:rFonts w:ascii="微软雅黑" w:eastAsia="微软雅黑" w:hAnsi="微软雅黑" w:cs="黑体" w:hint="eastAsia"/>
          <w:color w:val="000000"/>
          <w:sz w:val="21"/>
          <w:szCs w:val="21"/>
        </w:rPr>
        <w:t>并受总概</w:t>
      </w:r>
      <w:proofErr w:type="gramEnd"/>
      <w:r w:rsidRPr="00F04162">
        <w:rPr>
          <w:rFonts w:ascii="微软雅黑" w:eastAsia="微软雅黑" w:hAnsi="微软雅黑" w:cs="黑体" w:hint="eastAsia"/>
          <w:color w:val="000000"/>
          <w:sz w:val="21"/>
          <w:szCs w:val="21"/>
        </w:rPr>
        <w:t>（预）</w:t>
      </w:r>
      <w:proofErr w:type="gramStart"/>
      <w:r w:rsidRPr="00F04162">
        <w:rPr>
          <w:rFonts w:ascii="微软雅黑" w:eastAsia="微软雅黑" w:hAnsi="微软雅黑" w:cs="黑体" w:hint="eastAsia"/>
          <w:color w:val="000000"/>
          <w:sz w:val="21"/>
          <w:szCs w:val="21"/>
        </w:rPr>
        <w:t>算控制</w:t>
      </w:r>
      <w:proofErr w:type="gramEnd"/>
      <w:r w:rsidRPr="00F04162">
        <w:rPr>
          <w:rFonts w:ascii="微软雅黑" w:eastAsia="微软雅黑" w:hAnsi="微软雅黑" w:cs="黑体" w:hint="eastAsia"/>
          <w:color w:val="000000"/>
          <w:sz w:val="21"/>
          <w:szCs w:val="21"/>
        </w:rPr>
        <w:t>的各个工程项目的总和。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工程项目也称为单项工程，是建设项目的组成部分。具有独立的设计文件和相应的综合概（预）算书，竣工后能独立发挥生产功能或使用效益的工程。</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单位工程是工程项目的组成部分。它是指具有独立设计的施工图和相应的概（预）算书，能够单独施工，但竣工后不能独立形成生产能力或发挥使用效益的工程。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分部工程是单位工程的组成部分，是按照单位工程的不同部位、不同施工方法或不同材料和设备种类，从单位工程中划分出来的中间产品，如土石方工程等。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分项工程是分部工程的组成部分，是指通过简单施工过程就能生产出来并可利用某种计量单位计算的最基本的中间产品，它是按照不同施工方法或材料规格，从分部工程中进一步细分出来。（P134）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3.工程量清单由分部分项工程量清单、措施项目清单、其他项目清单、</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费项目清单、税金项目清单组成，主要包括工程量清单说明和工程量清单表两部分。（P149）</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4.工程价款结算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（1）工程价款结算的方式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1）按月结算与支付；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2）分段结算与支付。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（2）工程价款结算的主要内容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01　竣工结算；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02　分阶段结算；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03　专业分包结算；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04　合同中止结算。</w:t>
      </w:r>
    </w:p>
    <w:p w:rsidR="006A250D" w:rsidRPr="00F04162" w:rsidRDefault="00FC6E42" w:rsidP="006F3EE2">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工程索赔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（1）工程索赔的概念工程索赔是在工程承包合同履行中，当事人一方由于另外一方未履行合同所规定的义务或出现了由对方承担的风险而遭受损失时，向另一方提出索赔要求的行为。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工程索赔包括承包人向发包人的索赔和发包人向承包人的索赔（双向）。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（2）工程索赔的原因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①当事人违约；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②不可抗力（自然事件和社会事件）或不利的物质条件；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③合同缺陷（合同文件规定不严谨、合同存在遗漏和错误）；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④合同变更（设计变更、施工方法变更、追加或取消某些工作，合同其他规定的变更）；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⑤监理人指令（变更材料、采取某项措施、加速施工速度，进行某项工作）；</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⑥</w:t>
      </w:r>
      <w:proofErr w:type="gramStart"/>
      <w:r w:rsidRPr="00F04162">
        <w:rPr>
          <w:rFonts w:ascii="微软雅黑" w:eastAsia="微软雅黑" w:hAnsi="微软雅黑" w:cs="黑体" w:hint="eastAsia"/>
          <w:color w:val="000000"/>
          <w:sz w:val="21"/>
          <w:szCs w:val="21"/>
        </w:rPr>
        <w:t>其他第三</w:t>
      </w:r>
      <w:proofErr w:type="gramEnd"/>
      <w:r w:rsidRPr="00F04162">
        <w:rPr>
          <w:rFonts w:ascii="微软雅黑" w:eastAsia="微软雅黑" w:hAnsi="微软雅黑" w:cs="黑体" w:hint="eastAsia"/>
          <w:color w:val="000000"/>
          <w:sz w:val="21"/>
          <w:szCs w:val="21"/>
        </w:rPr>
        <w:t>方原因。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（3）工程索赔分类按照索赔合同依据分为：合同中明示的索赔和合同中默示的索赔；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按照索赔的目的分为：工期索赔和费用索赔；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按照索赔事件的性质分为：工程延误索赔、工程变更索赔、工程加速索赔、意外事件索赔、合同被迫终止的索赔等。</w:t>
      </w:r>
    </w:p>
    <w:p w:rsidR="006A250D" w:rsidRPr="00F04162" w:rsidRDefault="00FC6E42" w:rsidP="006F3EE2">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工程索赔的程序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索赔的提出；承包人向发包人的索赔应在索赔事件发生后，持证明索赔事件发生的有效证据，依据正当的索赔理由，在合同约定的时间内，向发包人提交索赔通知。发包人在合同约定的时间内对承包人提出的索赔进行答复和确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合同未作约定时，承包人确认引起索赔事件后28天（4周）内，向发包人发出索赔通知，否则承包人无权获得追加付款，竣工时间不得延长。（该做的事情在规定时间内必须做，不能拖拉）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在承包人确认引起索赔事件后42天（6周）内，承包人应该提交索赔报告，连续性事件应该每隔一个月提交进一步的中间索赔报告，说明累计索赔金额。在索赔事件产生影响结束后的28天内，递交最终索赔报告。</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②承包人索赔的处理程序。发包人收到报告后28天内</w:t>
      </w:r>
      <w:proofErr w:type="gramStart"/>
      <w:r w:rsidRPr="00F04162">
        <w:rPr>
          <w:rFonts w:ascii="微软雅黑" w:eastAsia="微软雅黑" w:hAnsi="微软雅黑" w:cs="黑体" w:hint="eastAsia"/>
          <w:color w:val="000000"/>
          <w:sz w:val="21"/>
          <w:szCs w:val="21"/>
        </w:rPr>
        <w:t>作出</w:t>
      </w:r>
      <w:proofErr w:type="gramEnd"/>
      <w:r w:rsidRPr="00F04162">
        <w:rPr>
          <w:rFonts w:ascii="微软雅黑" w:eastAsia="微软雅黑" w:hAnsi="微软雅黑" w:cs="黑体" w:hint="eastAsia"/>
          <w:color w:val="000000"/>
          <w:sz w:val="21"/>
          <w:szCs w:val="21"/>
        </w:rPr>
        <w:t>回应，批准或不批准，并</w:t>
      </w:r>
      <w:proofErr w:type="gramStart"/>
      <w:r w:rsidRPr="00F04162">
        <w:rPr>
          <w:rFonts w:ascii="微软雅黑" w:eastAsia="微软雅黑" w:hAnsi="微软雅黑" w:cs="黑体" w:hint="eastAsia"/>
          <w:color w:val="000000"/>
          <w:sz w:val="21"/>
          <w:szCs w:val="21"/>
        </w:rPr>
        <w:t>附具体</w:t>
      </w:r>
      <w:proofErr w:type="gramEnd"/>
      <w:r w:rsidRPr="00F04162">
        <w:rPr>
          <w:rFonts w:ascii="微软雅黑" w:eastAsia="微软雅黑" w:hAnsi="微软雅黑" w:cs="黑体" w:hint="eastAsia"/>
          <w:color w:val="000000"/>
          <w:sz w:val="21"/>
          <w:szCs w:val="21"/>
        </w:rPr>
        <w:t>意见。超过28天未做答复，视作索赔报告已认可。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③承包人提出索赔的期限。承包人接受竣工付款证书后，应被认为已经无权再提出合同工</w:t>
      </w:r>
      <w:proofErr w:type="gramStart"/>
      <w:r w:rsidRPr="00F04162">
        <w:rPr>
          <w:rFonts w:ascii="微软雅黑" w:eastAsia="微软雅黑" w:hAnsi="微软雅黑" w:cs="黑体" w:hint="eastAsia"/>
          <w:color w:val="000000"/>
          <w:sz w:val="21"/>
          <w:szCs w:val="21"/>
        </w:rPr>
        <w:t>程接受</w:t>
      </w:r>
      <w:proofErr w:type="gramEnd"/>
      <w:r w:rsidRPr="00F04162">
        <w:rPr>
          <w:rFonts w:ascii="微软雅黑" w:eastAsia="微软雅黑" w:hAnsi="微软雅黑" w:cs="黑体" w:hint="eastAsia"/>
          <w:color w:val="000000"/>
          <w:sz w:val="21"/>
          <w:szCs w:val="21"/>
        </w:rPr>
        <w:t>证书颁发前所发生的任何索赔。承包人提交的最终结清申请单中，只限于提出工程接受证书颁发后的索赔。提出索赔的期限自接受最终结清证书时终止。</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高频考点（第五章）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1.不动产单元代码：7层28位层次码，由宗地（宗海）代码与定着物代码构成。</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宗地（宗海）代码：五层19位层次码县级行政区划6位代码、地籍区3位代码、地籍子区3位代码、宗地（宗海）特征码2位代码（G－国家土地（海域）所有权、J－集体土地所有权、Z土地（海域）所有权未确定或有争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（2）定着物代码：二层9位层次码定着物特征码（F房屋；L森林或林木；Q其他类型的定着物；W</w:t>
      </w:r>
      <w:proofErr w:type="gramStart"/>
      <w:r w:rsidRPr="00F04162">
        <w:rPr>
          <w:rFonts w:ascii="微软雅黑" w:eastAsia="微软雅黑" w:hAnsi="微软雅黑" w:cs="黑体" w:hint="eastAsia"/>
          <w:color w:val="000000"/>
          <w:sz w:val="21"/>
          <w:szCs w:val="21"/>
        </w:rPr>
        <w:t>无定着</w:t>
      </w:r>
      <w:proofErr w:type="gramEnd"/>
      <w:r w:rsidRPr="00F04162">
        <w:rPr>
          <w:rFonts w:ascii="微软雅黑" w:eastAsia="微软雅黑" w:hAnsi="微软雅黑" w:cs="黑体" w:hint="eastAsia"/>
          <w:color w:val="000000"/>
          <w:sz w:val="21"/>
          <w:szCs w:val="21"/>
        </w:rPr>
        <w:t>物）。定着物单元编码8位。（P169）</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2.房地产测量的技术规范测量规范是测量工作所依据的法规性技术文件。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房地产测量主要执行国家标准《房产测量规范》；房产测量的成果：房产薄籍、房产数据和房产图集；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地籍测绘主要执行行业标准《地籍测绘规范》、《地籍图图式》。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3.不动产</w:t>
      </w:r>
      <w:proofErr w:type="gramStart"/>
      <w:r w:rsidRPr="00F04162">
        <w:rPr>
          <w:rFonts w:ascii="微软雅黑" w:eastAsia="微软雅黑" w:hAnsi="微软雅黑" w:cs="黑体" w:hint="eastAsia"/>
          <w:color w:val="000000"/>
          <w:sz w:val="21"/>
          <w:szCs w:val="21"/>
        </w:rPr>
        <w:t>权籍图不动产</w:t>
      </w:r>
      <w:proofErr w:type="gramEnd"/>
      <w:r w:rsidRPr="00F04162">
        <w:rPr>
          <w:rFonts w:ascii="微软雅黑" w:eastAsia="微软雅黑" w:hAnsi="微软雅黑" w:cs="黑体" w:hint="eastAsia"/>
          <w:color w:val="000000"/>
          <w:sz w:val="21"/>
          <w:szCs w:val="21"/>
        </w:rPr>
        <w:t>权籍图：地籍图、海籍图、不动产单元图（宗地图、宗海图、房产分户图（房产平面图））。</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不动产单元：权属界线固定封闭，具有独立使用价值的空间。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不动产单元代码：7层28位层次码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宗地（宗海）代码：五层19位层次码县级行政区划6位代码、地籍区3位代码、地籍子区3位代码、宗地（宗海）特征码2位代码（G－国家土地（海域）所有权、J－集体土地所有权、Z土地（海域）所有权未确定或有争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（2）定着物代码：二层9位层次码定着物特征码（F房屋；L森林或林木；Q其他类型的定着物；W</w:t>
      </w:r>
      <w:proofErr w:type="gramStart"/>
      <w:r w:rsidRPr="00F04162">
        <w:rPr>
          <w:rFonts w:ascii="微软雅黑" w:eastAsia="微软雅黑" w:hAnsi="微软雅黑" w:cs="黑体" w:hint="eastAsia"/>
          <w:color w:val="000000"/>
          <w:sz w:val="21"/>
          <w:szCs w:val="21"/>
        </w:rPr>
        <w:t>无定着</w:t>
      </w:r>
      <w:proofErr w:type="gramEnd"/>
      <w:r w:rsidRPr="00F04162">
        <w:rPr>
          <w:rFonts w:ascii="微软雅黑" w:eastAsia="微软雅黑" w:hAnsi="微软雅黑" w:cs="黑体" w:hint="eastAsia"/>
          <w:color w:val="000000"/>
          <w:sz w:val="21"/>
          <w:szCs w:val="21"/>
        </w:rPr>
        <w:t>物）。定着物单元编码8位。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4.宗地图是描述宗地位置、界址点线关系、相邻宗地编号</w:t>
      </w:r>
      <w:proofErr w:type="gramStart"/>
      <w:r w:rsidRPr="00F04162">
        <w:rPr>
          <w:rFonts w:ascii="微软雅黑" w:eastAsia="微软雅黑" w:hAnsi="微软雅黑" w:cs="黑体" w:hint="eastAsia"/>
          <w:color w:val="000000"/>
          <w:sz w:val="21"/>
          <w:szCs w:val="21"/>
        </w:rPr>
        <w:t>的分宗地籍图</w:t>
      </w:r>
      <w:proofErr w:type="gramEnd"/>
      <w:r w:rsidRPr="00F04162">
        <w:rPr>
          <w:rFonts w:ascii="微软雅黑" w:eastAsia="微软雅黑" w:hAnsi="微软雅黑" w:cs="黑体" w:hint="eastAsia"/>
          <w:color w:val="000000"/>
          <w:sz w:val="21"/>
          <w:szCs w:val="21"/>
        </w:rPr>
        <w:t>，是不动产产权证书和宗地档案的附图。（P170）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5.房产面积量算各</w:t>
      </w:r>
      <w:proofErr w:type="gramStart"/>
      <w:r w:rsidRPr="00F04162">
        <w:rPr>
          <w:rFonts w:ascii="微软雅黑" w:eastAsia="微软雅黑" w:hAnsi="微软雅黑" w:cs="黑体" w:hint="eastAsia"/>
          <w:color w:val="000000"/>
          <w:sz w:val="21"/>
          <w:szCs w:val="21"/>
        </w:rPr>
        <w:t>类面积</w:t>
      </w:r>
      <w:proofErr w:type="gramEnd"/>
      <w:r w:rsidRPr="00F04162">
        <w:rPr>
          <w:rFonts w:ascii="微软雅黑" w:eastAsia="微软雅黑" w:hAnsi="微软雅黑" w:cs="黑体" w:hint="eastAsia"/>
          <w:color w:val="000000"/>
          <w:sz w:val="21"/>
          <w:szCs w:val="21"/>
        </w:rPr>
        <w:t>测算必须独立测算两次，较差在规定限差之内，取中数作为最后的结果。面积以平方米为单位，取至0.01</w:t>
      </w:r>
      <w:r w:rsidRPr="00F04162">
        <w:rPr>
          <w:rFonts w:ascii="微软雅黑" w:hAnsiTheme="minorEastAsia" w:cs="黑体" w:hint="eastAsia"/>
          <w:color w:val="000000"/>
          <w:sz w:val="21"/>
          <w:szCs w:val="21"/>
        </w:rPr>
        <w:t>㎡</w:t>
      </w:r>
      <w:r w:rsidRPr="00F04162">
        <w:rPr>
          <w:rFonts w:ascii="微软雅黑" w:eastAsia="微软雅黑" w:hAnsi="微软雅黑" w:cs="黑体" w:hint="eastAsia"/>
          <w:color w:val="000000"/>
          <w:sz w:val="21"/>
          <w:szCs w:val="21"/>
        </w:rPr>
        <w:t>.建筑面积的测算规定：</w:t>
      </w:r>
    </w:p>
    <w:p w:rsidR="006A250D" w:rsidRPr="00F04162" w:rsidRDefault="00FC6E42" w:rsidP="006F3EE2">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全部计算建筑面积的范围计算一半建筑面积的范围不计算建筑面积的范围（记忆要点：2.2米、是否封闭、有无围护、有无上盖）</w:t>
      </w:r>
    </w:p>
    <w:p w:rsidR="006F3EE2" w:rsidRPr="00F04162" w:rsidRDefault="006F3EE2" w:rsidP="006F3EE2">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高频考点（第六章）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1.需求价格弹性的分类范围（重要考点）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|Ed|＝0，无弹性。表明无论价格如何变动，需求量都固定不变，始终有△Q＝0.需求曲线是垂直的。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|Ed|＝∞，完全弹性。表明在价格既定的条件下，需求量可任意变动，需求曲线为水平的。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|Ed|＝1，单位弹性。表明价格每提高（或降低）一定的比率，则需求量相应减少（或增加）相同的比率，其特征为PQ的乘积为定值，需求曲线为一条正双曲线，此时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为单一价格弹性。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|Ed|＞1，表明价格每提高（或降低）一定的比率，则需求量相应减少（或增加）更大的比率，需求曲线比较平坦，此时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富有价格弹性。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1＞|Ed|＞0，表明需求量变动比率的绝对值小于价格变动比率的绝对值，需求曲线比较陡峭，此时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缺乏价格弹性。（P186）</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2.影响商品需求的因素与需求函数影响因素：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（1）消费者偏好；正相关。</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（2）消费者的收入水平；正常商品正相关，劣质商品负相关。</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（3）该商品本身的价格；负相关。</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（4）相关商品的价格；影响需求量同向变动，则为互补品，影响需求量反向变动，则为替代品。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（5）消费者对商品未来价格的预期；正相关（买涨不买跌）。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（6）其他因素。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需求函数：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反映需求与各种影响因素关系的数学表达式即为需求函数。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D＝f（x1，x2，x3，···，</w:t>
      </w:r>
      <w:proofErr w:type="spellStart"/>
      <w:r w:rsidRPr="00F04162">
        <w:rPr>
          <w:rFonts w:ascii="微软雅黑" w:eastAsia="微软雅黑" w:hAnsi="微软雅黑" w:cs="黑体" w:hint="eastAsia"/>
          <w:color w:val="000000"/>
          <w:sz w:val="21"/>
          <w:szCs w:val="21"/>
        </w:rPr>
        <w:t>xn</w:t>
      </w:r>
      <w:proofErr w:type="spellEnd"/>
      <w:r w:rsidRPr="00F04162">
        <w:rPr>
          <w:rFonts w:ascii="微软雅黑" w:eastAsia="微软雅黑" w:hAnsi="微软雅黑" w:cs="黑体" w:hint="eastAsia"/>
          <w:color w:val="000000"/>
          <w:sz w:val="21"/>
          <w:szCs w:val="21"/>
        </w:rPr>
        <w:t>）</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D——需求量x1，x2，x3，···，</w:t>
      </w:r>
      <w:proofErr w:type="spellStart"/>
      <w:r w:rsidRPr="00F04162">
        <w:rPr>
          <w:rFonts w:ascii="微软雅黑" w:eastAsia="微软雅黑" w:hAnsi="微软雅黑" w:cs="黑体" w:hint="eastAsia"/>
          <w:color w:val="000000"/>
          <w:sz w:val="21"/>
          <w:szCs w:val="21"/>
        </w:rPr>
        <w:t>xn</w:t>
      </w:r>
      <w:proofErr w:type="spellEnd"/>
      <w:r w:rsidRPr="00F04162">
        <w:rPr>
          <w:rFonts w:ascii="微软雅黑" w:eastAsia="微软雅黑" w:hAnsi="微软雅黑" w:cs="黑体" w:hint="eastAsia"/>
          <w:color w:val="000000"/>
          <w:sz w:val="21"/>
          <w:szCs w:val="21"/>
        </w:rPr>
        <w:t>——影响需求的因素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长期总成本（LTC）是长期中生产一定量产品所需要的成本总和。长期平均成本（LAC）是长期中生产每单位产品的平均成本。呈“U”形。长期边际成本（LMC）是在长期中每增加一单位产品所增加的成本。呈“U”形。（P202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4.效用消费者决策是消费者行为理论的基本内容。消费者决策是指消费者在既定的预算约束条件下，为使自己获得最大满足（效用最大化）而</w:t>
      </w:r>
      <w:proofErr w:type="gramStart"/>
      <w:r w:rsidRPr="00F04162">
        <w:rPr>
          <w:rFonts w:ascii="微软雅黑" w:eastAsia="微软雅黑" w:hAnsi="微软雅黑" w:cs="黑体" w:hint="eastAsia"/>
          <w:color w:val="000000"/>
          <w:sz w:val="21"/>
          <w:szCs w:val="21"/>
        </w:rPr>
        <w:t>作出</w:t>
      </w:r>
      <w:proofErr w:type="gramEnd"/>
      <w:r w:rsidRPr="00F04162">
        <w:rPr>
          <w:rFonts w:ascii="微软雅黑" w:eastAsia="微软雅黑" w:hAnsi="微软雅黑" w:cs="黑体" w:hint="eastAsia"/>
          <w:color w:val="000000"/>
          <w:sz w:val="21"/>
          <w:szCs w:val="21"/>
        </w:rPr>
        <w:t>的消费选择。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效用，就是商品给消费者带来的满足程度。大小取决于两种因素：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一是由商品的自然属性所决定、具有满足人们某种需要的能力；</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二是人们在消费某种商品时对需要满足程度的主观感受。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效用的度量理论有基数效用论和序数效用论。</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基数效用论。——假设消费者能用数字表示消费单个物品的效用大小，即以效用单位对消费者消费某一物品所获得的满足程度加以衡量；对物品组合的消费，则假设每种物品的效用各自独立；效用可以比较、可以加总得到总效用。例如：饥饿的时候吃馒头的效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基数效用</w:t>
      </w:r>
      <w:proofErr w:type="gramStart"/>
      <w:r w:rsidRPr="00F04162">
        <w:rPr>
          <w:rFonts w:ascii="微软雅黑" w:eastAsia="微软雅黑" w:hAnsi="微软雅黑" w:cs="黑体" w:hint="eastAsia"/>
          <w:color w:val="000000"/>
          <w:sz w:val="21"/>
          <w:szCs w:val="21"/>
        </w:rPr>
        <w:t>论采用</w:t>
      </w:r>
      <w:proofErr w:type="gramEnd"/>
      <w:r w:rsidRPr="00F04162">
        <w:rPr>
          <w:rFonts w:ascii="微软雅黑" w:eastAsia="微软雅黑" w:hAnsi="微软雅黑" w:cs="黑体" w:hint="eastAsia"/>
          <w:color w:val="000000"/>
          <w:sz w:val="21"/>
          <w:szCs w:val="21"/>
        </w:rPr>
        <w:t>的分析方法是边际效用分析法。边际效用为0时，总效用最大。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序数效用论，即以序数形式研究消费者效用最大化的理论。尽管不能用效用单位表示效用，但可以对效用大小进行排序，比较效用大小。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序数效用论的分析方法是无差异曲线分析法。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5.生产规模与规模报酬生产规模是指在一定量生产要素投入所能获取最大产出量。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规模报酬是指在技术水平不变的条件下，当各种生产要素按相同比例增加，即生产规模扩大时产量变化的情况。</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规模报酬存在递增、不变和递减三个阶段。即随着生产规模的扩大，最初会使产量增加的倍数大于生产规模扩大的倍数；当规模扩大使生产达到规模经济后，规模报酬保持不变；继续扩大生产规模并超过一定限度后，则会使产量的增加倍数小于生产规模的扩大倍数，规模报酬出现递减。</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高频考点（第七章）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1.金融工具的种类直接金融工具是指由非金融机构发行和签署的商业票据，公债和国库券等。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间接金融工具是指由金融机构（银行，保险公司）发行的银行券，存款单，银行票据和保险单等。</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短期信用工具主要指票据，包括本票、汇票等。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长期信用工具也称为有价证券，主要是股票和债券两类。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不定期信用工具主要指银行券和纸币。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2.直接融资是指资金供给者是直接贷款人，资金需求者是直接借款人。发生长期债券和发行股票属于直接融资方式。间接融资是指资金供给者与资金需求者通过金融中介机构间接实现融资的行为。（P231）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3.通货膨胀的调控：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（1）调节和控制社会总需求。在财政政策方面，大力压缩财政支出，努力增加财政收入，坚持收支平衡。在货币政策方面，紧缩信贷，控制货币投放，减少货币供应总量。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（2）增加商品有效供应。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（3）通货膨胀的调控还必须与调整产业和产品结构结合起来。（P245）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4.通货膨胀的含义和类型通货膨胀是指由于货币供应量过多而引起货币贬值、物价持续上涨的经济现象。</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按照形成原因，通货膨胀分为三种：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1）需求拉上型通货膨胀。是指经济运行过程中总需求过度增加，超过了既定价格水平下商品和劳务的供给，从而引起货币贬值和物价总水平上涨。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2）成本推动型通货膨胀。是指在商品和劳务供给不变的情况下，因生产成本提高而引起的物价总水平上涨，而原材料价格上涨和工资增加是生产成本提高的主要原因。</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3）结构失调型通货膨胀。是指由于国民经济结构性失调造成货币流通与商品流通不相适应而引起的通货膨胀。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5.大额可转让定期存单批发式：发行机构拟定发行总额、利率、面额等，预先公布供投资者认购；</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零售式：根据投资者的需要随时发行和认购，利率可商议。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面额较大，高收益（利率高于同期存款利率，享受利率期限结构调整）、高流动性（可随时在二级市场出售转让）。</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Style w:val="a7"/>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高频考点（第八章）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1.优先股股东的权利和义务优先股享有比普通股持有者优先的权利。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收益更稳定，风险更小，但是股东的其他权利受限。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（1）优先分股息。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（2）优先分剩余资产。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（3）有限的表决权。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（4）要求赎回权。</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2.证券可分为商品证券、货币证券及资本证券三类。商品证券是表明对物质资料具有某种权利的有价证券，如提货单、运货单、仓库栈单等。货币证券是指可与货币相互转化的有价证券，如汇票、支票等。资本证券是表明投资的事实，表明投资者的权利和义务的有价证券，最常见的有股票、债券、投资基金等。（P280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3.债券基本要素：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（1）债券的票面价值；</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债券的发行价格有三种情况：若市场利率低于债券利率，则溢价发行；若市场利率等于债券利率，则平价发行；若市场利率高于债券利率，则折价发行。债券的市场交易价格常常与票面价值不一致。（3）债券的利率；（4）债券的偿还期限。（P291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4.债券的特征债券也是一种虚拟资本而非真实资本，是在经济运行中实际运用的真实资本的证书。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债券特征：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①偿还性。即必须规定债券的偿还期限（到期日），债务人到期还本付息。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②收益性。投资者根据固定利率取得稳定的、一般高于银行存款利率的利息收入；在证券市场上获得价差收入（交易性收入）。③流动性。即变现力，转让、抵押，变为现金。④安全性。投资风险比股票小。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偿还性、收益性、流动性和安全性之间具有相逆性关系，很难同时兼顾。</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5.固定型和管理型（1）固定型。指将信托基金投资于预先确定的证券，而在整个信托期间，原则上不允许变动，不允许转卖或重买。不许买卖调整（2）管理型。指经营者可以根据市场变化，对购进的证券自由买卖，不断调整组合结构，所以管理型基金又</w:t>
      </w:r>
      <w:proofErr w:type="gramStart"/>
      <w:r w:rsidRPr="00F04162">
        <w:rPr>
          <w:rFonts w:ascii="微软雅黑" w:eastAsia="微软雅黑" w:hAnsi="微软雅黑" w:cs="黑体" w:hint="eastAsia"/>
          <w:color w:val="000000"/>
          <w:sz w:val="21"/>
          <w:szCs w:val="21"/>
        </w:rPr>
        <w:t>称自由</w:t>
      </w:r>
      <w:proofErr w:type="gramEnd"/>
      <w:r w:rsidRPr="00F04162">
        <w:rPr>
          <w:rFonts w:ascii="微软雅黑" w:eastAsia="微软雅黑" w:hAnsi="微软雅黑" w:cs="黑体" w:hint="eastAsia"/>
          <w:color w:val="000000"/>
          <w:sz w:val="21"/>
          <w:szCs w:val="21"/>
        </w:rPr>
        <w:t>型和融通型。可以买卖调整</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高频考点（第九章）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1.保险的概念保险是集合同类危险聚资建立基金，对各类特定危险的后果提供经济补偿的一种财产转移机制。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（1）保险是一种通过聚资建立基金的机制。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（2）保险是对特定危险的后果提供经济补偿的一种机制。保险的形成有条件，不能对所有危险都提供保险。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（3）保险是一种财产转移机制。特定的危险事故发生，保险人都将赔付保险金。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保险体现保险人（保险公司）与被保险人之间的一种商品交易关系。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保险，经济补偿制度，以保险人收取保险费，建立起保险基金，对被保险人因所保危险的发生而造成的财产损失予以补偿（财产保险），或者对人身损失（人身保险）给予物质保障的制度。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2.保险的基本职能：分散危险；组织经济补偿。（P315）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3.保险的派生职能：</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（1）融通资金，是指保险人通过利用集聚起来的保险基金而实现的货币资金融通。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（2）防灾防损，是指保险人参与防灾防损活动，提高了社会的防灾防损能力。</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（3）分配，是指保险实际上参与了国民收入的再分配。分配派生职能的最佳体现是社会保险。（P315）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4.保险合同的订立、变更与终止保险合同当事人双方经过约定和承诺两个步骤后即完成合同订立。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保险合同一经订立，根据法律的规定，在当事人之间就产生法律效力，即生效。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保险合同依法订立并生效后，保险活动的各当事人就必须履行各自的义务。在保险合同的有效期内，投保人和保险人经协商同意，可以变更有关内容。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保险合同终止的情形：保险期限届满；保险人履行了赔偿或给付义务；保险标的因除外责任原因而灭失；当事人解除保险合同；保险公司因解散、破产等原因而终止。</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5.保险公司设立的条件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（1）符合《保险法》和《公司法》的有关规定；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（2）符合规定的注册资本最低限额（人民币2亿元）；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（3）具备专业知识和业务工作经验的高级管理人员；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（4）有健全的组织机构和管理制度；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（5）有符合要求的营业场所和与业务有关的其他设施。</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除上述条件外，设立保险公司还必须经保险监督管理部门批准。</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Style w:val="a7"/>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高频考点（第十章）</w:t>
      </w:r>
    </w:p>
    <w:p w:rsidR="006A250D" w:rsidRPr="00F04162" w:rsidRDefault="00FC6E42" w:rsidP="006F3EE2">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收集数据的形式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（1）统计报表，按照国家统一规定，以报表的形式定期逐级上报统计资料的制度化调查方式。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（2）普查，是指专门组织的、对一定时点上的国情国力所作的一次性全面调查。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（3）重点调查，是指从调查对象的全部单位中选择一部分客观存在的重点单位进行调查。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（4）典型调查，是指在研究对象中有意识地选取若干主观认为表现突出的典型单位进行调查。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（5）抽样调查，全称为随机抽样调查，是指随机从总体中抽取部分单位构成样本，以样本数量信息推断总体数量特征的调查。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2.平均指标是指用来测定静态分布数列中各单位的标志值集中趋势的指标。平均指标主要有以下几种：算术平均数；调和平均数；几何平均数；中位数；众数。（P344）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3.变异系数以相对形式表现的变异指标。常用的是标准差系数。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4.定基增长速度+1（或100%）=定基发展速度；环比增长速度+1（或100%）=环比发展速度。（P350）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5.季节变动的测定季节指数，它是说明现象在各年某个月的同月平均数占各年总的月平均数的比重。</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若不考虑长期趋势的影响，直接根据原始时间序列来计算季节比率，即为同月（季）平均法，或称直接平均法。</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季节比率高，“旺季”；季节比率低，“淡季”。</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高频考点（第十一章）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1.可靠性（真实可靠完整）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可靠性要求企业应当以实际发生的交易或者事项为依据进行确认、计量和报告，如实反映符合确认和计量要求的各项会计要素及其他相关信息，保证会计信息真实可靠、内容完整。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以实际发生的交易或者事项为依据进行确认、计量，将符合会计要素定义及其确认条件的资产、负债、所有者权益、收入、费用和利润等如实反映在财务报表中，不得根据虚构的、没有发生的或者尚未发生的交易或者事项进行确认、计量和报告。如还在商务谈判阶段，就不符合确认标准，签署合同后，才可以确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（2）在符合重要性和成本效益原则的前提下，保证会计信息的完整性，其中包括应当编报的报表及其附注内容等应当保持完整，不能随意遗漏或者减少应予披露的信息，与使用</w:t>
      </w:r>
      <w:proofErr w:type="gramStart"/>
      <w:r w:rsidRPr="00F04162">
        <w:rPr>
          <w:rFonts w:ascii="微软雅黑" w:eastAsia="微软雅黑" w:hAnsi="微软雅黑" w:cs="黑体" w:hint="eastAsia"/>
          <w:color w:val="000000"/>
          <w:sz w:val="21"/>
          <w:szCs w:val="21"/>
        </w:rPr>
        <w:t>者决策</w:t>
      </w:r>
      <w:proofErr w:type="gramEnd"/>
      <w:r w:rsidRPr="00F04162">
        <w:rPr>
          <w:rFonts w:ascii="微软雅黑" w:eastAsia="微软雅黑" w:hAnsi="微软雅黑" w:cs="黑体" w:hint="eastAsia"/>
          <w:color w:val="000000"/>
          <w:sz w:val="21"/>
          <w:szCs w:val="21"/>
        </w:rPr>
        <w:t>相关的有用信息都应当充分披露。</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（3）包括在财务报告中的会计信息应当是中立的、无偏的。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2.会计假设包括会计主体假设、持续经营假设、会计分期假设和货币计量假设。（P361）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3.原始凭证的审核内容：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（1）凭证内容审核——审核凭证的名称、编制凭证的日期、填制凭证的单位名称、填制人姓名、经办人员的签名或盖章、经济业务内容、数量、单价和金额。</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（2）凭证签章审核——凡是外单位取得，必须盖有填制单位的公章和填制人员的姓名。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（3）凭证金额审核——凡是填有大小写金额的原始凭证，大小写金额必须相符。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（4）凭证各联审核——一式几联的原始凭证，应当注明各联的用途，只能以其中的</w:t>
      </w:r>
      <w:proofErr w:type="gramStart"/>
      <w:r w:rsidRPr="00F04162">
        <w:rPr>
          <w:rFonts w:ascii="微软雅黑" w:eastAsia="微软雅黑" w:hAnsi="微软雅黑" w:cs="黑体" w:hint="eastAsia"/>
          <w:color w:val="000000"/>
          <w:sz w:val="21"/>
          <w:szCs w:val="21"/>
        </w:rPr>
        <w:t>一</w:t>
      </w:r>
      <w:proofErr w:type="gramEnd"/>
      <w:r w:rsidRPr="00F04162">
        <w:rPr>
          <w:rFonts w:ascii="微软雅黑" w:eastAsia="微软雅黑" w:hAnsi="微软雅黑" w:cs="黑体" w:hint="eastAsia"/>
          <w:color w:val="000000"/>
          <w:sz w:val="21"/>
          <w:szCs w:val="21"/>
        </w:rPr>
        <w:t>联作为报销凭证。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4.营运能力分析主要包括存货周转指标和应收账款周转指标分析。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（1）存货周转率＝销货成本/平均存货；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平均存货＝（期初存货＋期末存货）/2；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存货周转天数＝365/存货周转率。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（2）应收账款周转率＝赊销收入/平均应收账款；</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平均应收账款＝（期初应收账余额＋期末应收账款余额）/2；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应收账款周转天数＝365/应收账款周转率。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盈利能力分析指标。</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资产报酬率＝净利率/资产平均总额股东权益报酬率＝净利润/股东权益平均总额销售毛利率＝销售毛利/销售收入净额销售净利率＝净利润/销售收入净额成本费用净利率＝净利润/成本费用总额（P393）</w:t>
      </w:r>
      <w:r w:rsidR="006F3EE2" w:rsidRPr="00F04162">
        <w:rPr>
          <w:rFonts w:ascii="微软雅黑" w:eastAsia="微软雅黑" w:hAnsi="微软雅黑" w:cs="黑体" w:hint="eastAsia"/>
          <w:color w:val="000000"/>
          <w:sz w:val="21"/>
          <w:szCs w:val="21"/>
        </w:rPr>
        <w:t>。</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高频考点（第十二章）</w:t>
      </w:r>
    </w:p>
    <w:p w:rsidR="006F3EE2" w:rsidRPr="00F04162" w:rsidRDefault="006F3EE2" w:rsidP="006F3EE2">
      <w:pPr>
        <w:pStyle w:val="a6"/>
        <w:widowControl/>
        <w:spacing w:before="150" w:beforeAutospacing="0" w:after="150" w:afterAutospacing="0" w:line="360" w:lineRule="auto"/>
        <w:ind w:firstLineChars="250" w:firstLine="52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w:t>
      </w:r>
      <w:proofErr w:type="gramStart"/>
      <w:r w:rsidR="00FC6E42" w:rsidRPr="00F04162">
        <w:rPr>
          <w:rFonts w:ascii="微软雅黑" w:eastAsia="微软雅黑" w:hAnsi="微软雅黑" w:cs="黑体" w:hint="eastAsia"/>
          <w:color w:val="000000"/>
          <w:sz w:val="21"/>
          <w:szCs w:val="21"/>
        </w:rPr>
        <w:t>行政规章行政规章</w:t>
      </w:r>
      <w:proofErr w:type="gramEnd"/>
      <w:r w:rsidR="00FC6E42" w:rsidRPr="00F04162">
        <w:rPr>
          <w:rFonts w:ascii="微软雅黑" w:eastAsia="微软雅黑" w:hAnsi="微软雅黑" w:cs="黑体" w:hint="eastAsia"/>
          <w:color w:val="000000"/>
          <w:sz w:val="21"/>
          <w:szCs w:val="21"/>
        </w:rPr>
        <w:t>是有关行政机关依法制定的事关行政管理的规范性法律文件的总称。分为部门规章和政府规章两种。</w:t>
      </w:r>
    </w:p>
    <w:p w:rsidR="006A250D" w:rsidRPr="00F04162" w:rsidRDefault="00FC6E42" w:rsidP="006F3EE2">
      <w:pPr>
        <w:pStyle w:val="a6"/>
        <w:widowControl/>
        <w:spacing w:before="150" w:beforeAutospacing="0" w:after="150" w:afterAutospacing="0" w:line="360" w:lineRule="auto"/>
        <w:ind w:firstLineChars="250" w:firstLine="52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国务院各部、委、中国人民银行、审计署和具有行政管理职能的直属机构，可以根据法律和国务院的行政法规、决定、命令，在本部门的权限范围内，制定规章。其地位低于法律、行政法规，不得与它们相抵触。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政府规章是有权制定地方性法规的地方人民政府根据法律、行政法规，制定的规范性法文件，亦称地方政府规章。地方政府规章可以就下列事项做出规定：为执行法律、行政法规、地方性法规的规定需要制定规章的事项；属于本行政区域的具体行政管理事项。政府规章除不得与宪法、法律、行政法规相抵触外，还不得与上级和同级地方性法规相抵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宪法具有最高的法律效力，效力高于行政法规、地方性法规、规章。行政法规的效力高于地方性法规、规章。地方性法规的效力高于本级和下级地方政府规章。省、自治区的人民政府制定的规章的效力高于本行政区域内的较大的市的人民政府制定的规章。部门规章之间、部门规章与地方政府规章之间具有同等效力，在各自的权限范围内施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特别规定与一般规定不一致的，适用特别规定；新旧不一，适用新</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（上位法优于下位法，新法优于旧法，特别法优于一般法）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2.无效民事行为：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（1）无民事行为能力人实施的；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（2）限制民事行为能力人依法不能独立实施的；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（3）一方以欺诈、胁迫的手段或者乘人之危，使对方在违背真实意思的情况下所为的；</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（4）恶意串通，损害国家、集体或者第三人利益的；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（5）违反法律或者社会公共利益的；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（6）经济合同违反国家指令性计划的；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（7）以合法形式掩盖非法目的的。（P406）</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3.民事权利的保护保护方法：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①公力救济，</w:t>
      </w:r>
      <w:proofErr w:type="gramStart"/>
      <w:r w:rsidRPr="00F04162">
        <w:rPr>
          <w:rFonts w:ascii="微软雅黑" w:eastAsia="微软雅黑" w:hAnsi="微软雅黑" w:cs="黑体" w:hint="eastAsia"/>
          <w:color w:val="000000"/>
          <w:sz w:val="21"/>
          <w:szCs w:val="21"/>
        </w:rPr>
        <w:t>即权利</w:t>
      </w:r>
      <w:proofErr w:type="gramEnd"/>
      <w:r w:rsidRPr="00F04162">
        <w:rPr>
          <w:rFonts w:ascii="微软雅黑" w:eastAsia="微软雅黑" w:hAnsi="微软雅黑" w:cs="黑体" w:hint="eastAsia"/>
          <w:color w:val="000000"/>
          <w:sz w:val="21"/>
          <w:szCs w:val="21"/>
        </w:rPr>
        <w:t>人通过民事诉讼程序，请求人民法院依法予以保护。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②自力救济，</w:t>
      </w:r>
      <w:proofErr w:type="gramStart"/>
      <w:r w:rsidRPr="00F04162">
        <w:rPr>
          <w:rFonts w:ascii="微软雅黑" w:eastAsia="微软雅黑" w:hAnsi="微软雅黑" w:cs="黑体" w:hint="eastAsia"/>
          <w:color w:val="000000"/>
          <w:sz w:val="21"/>
          <w:szCs w:val="21"/>
        </w:rPr>
        <w:t>即权利</w:t>
      </w:r>
      <w:proofErr w:type="gramEnd"/>
      <w:r w:rsidRPr="00F04162">
        <w:rPr>
          <w:rFonts w:ascii="微软雅黑" w:eastAsia="微软雅黑" w:hAnsi="微软雅黑" w:cs="黑体" w:hint="eastAsia"/>
          <w:color w:val="000000"/>
          <w:sz w:val="21"/>
          <w:szCs w:val="21"/>
        </w:rPr>
        <w:t>人通过正当防卫、紧急避险和自助行为维护自己的权利。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4.滥用代理权的行为：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（1）自己代理。代理他人与自己进行民事法律行为。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双方代理。它是指代理人以被代理人的名义与自己同时代理的其他人进行民事法律行为。（3）与第三人恶意串通，损害被代理人的利益。（4）越权代理。（5）利用代理权从事违法活动。本人知道他人以本人名义实施民事行为而不作否认表示的，视为同意。（P408）</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5.法人是具有民事权利能力和民事行为能力，依法独立享有民事权利并承担民事义务的组织。法人包括机关法人、事业单位法人、企业法人和社团法人等。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要成为法人，需要具备4个条件：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（1）依法成立；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（2）有必要的财产或经费；</w:t>
      </w:r>
    </w:p>
    <w:p w:rsidR="006A250D" w:rsidRPr="00F04162" w:rsidRDefault="00FC6E42" w:rsidP="006F3EE2">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（3）有自己的名称、组织机构和住所；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（4）能独立承担民事责任。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凡具有国家规定的资金数额及设立的条件等，经国家主管机关批准，依法向法人登记机关登记，即能取得法人资格。</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房估《相关知识》</w:t>
      </w:r>
      <w:proofErr w:type="gramEnd"/>
      <w:r w:rsidRPr="00F04162">
        <w:rPr>
          <w:rStyle w:val="a7"/>
          <w:rFonts w:ascii="微软雅黑" w:eastAsia="微软雅黑" w:hAnsi="微软雅黑" w:cs="黑体" w:hint="eastAsia"/>
          <w:color w:val="000000"/>
          <w:sz w:val="21"/>
          <w:szCs w:val="21"/>
        </w:rPr>
        <w:t>高频考点（第十三章）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1.拍卖与普通商品交易的区别</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（1）普通交易当事人只有两方（卖方和买方）。拍卖方式有三方（委托人、拍卖人和竞买人或买受人）。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（2）普通交易买卖双方可以私下商量价格，拍卖在公众监督下进行。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（3）普通交易，由卖方定价或由买卖双方协商定价；拍卖由竞买人竞价决定最终价格，即由买方定价。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（4）普通交易的价格竞争主要在卖方间展开，有时在买卖双方之间以讨价还价的方式展开；而拍卖方式交易中，价格的竞争是在买方中间展开的。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（5）拍卖方式交易中，竞买人参与竞买前必须出示身份证明，办理竞买手续。在定向拍卖的情况下，还会对竞买人的身份或资格做出相应限制性规定。而普通交易则没有上述要求。</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（6）《拍卖法》规定，境内的拍卖活动必须由依法设立的拍卖机构来举行，而普通交易中的商业企业则一般不会受到特许的限制。</w:t>
      </w:r>
      <w:bookmarkStart w:id="0" w:name="_GoBack"/>
      <w:bookmarkEnd w:id="0"/>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2.拍卖与普通商品交易的区别：</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（1）拍卖方式中有委托人、拍卖人和竞买人（买受人），三方缺一不可；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（2）拍卖过程是在公众的监督之下进行的；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（3）普通交易由卖方定价或由买卖双方协商定价，拍卖由买方定价；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（4）拍卖价格竞争在买方中间展开；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（5）拍卖从对买方的身份有要求；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（6）境内的拍卖活动必须由依法设立的拍卖机构来举行。（P425）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3.公开原则</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（1）拍卖信息公开。拍卖人必须在拍卖前7日内，以广告媒体或其他法律允许的形式，公开发布拍卖公告。</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竞买公开。凡有两人以上符合资格的竞买人对拍卖标的提出竞买申请的，拍卖人不得无故撤回该标的或终止拍卖，更不得以其他形式转让拍卖标的。拍卖人必须公开举办拍卖会，由法律、法规所规定的原因及其他原因导致拍卖活动终止或终结的，拍卖人应通过公开的方式予以说明。</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4.保留价指拍卖人可以据以确认拍卖成交的最低价格。保留价一经确定，不得随意改变。委托人拥有保留价的确定权。保留价通常是保密的，仅限委托人和拍卖人等</w:t>
      </w:r>
      <w:proofErr w:type="gramStart"/>
      <w:r w:rsidRPr="00F04162">
        <w:rPr>
          <w:rFonts w:ascii="微软雅黑" w:eastAsia="微软雅黑" w:hAnsi="微软雅黑" w:cs="黑体" w:hint="eastAsia"/>
          <w:color w:val="000000"/>
          <w:sz w:val="21"/>
          <w:szCs w:val="21"/>
        </w:rPr>
        <w:t>有限人</w:t>
      </w:r>
      <w:proofErr w:type="gramEnd"/>
      <w:r w:rsidRPr="00F04162">
        <w:rPr>
          <w:rFonts w:ascii="微软雅黑" w:eastAsia="微软雅黑" w:hAnsi="微软雅黑" w:cs="黑体" w:hint="eastAsia"/>
          <w:color w:val="000000"/>
          <w:sz w:val="21"/>
          <w:szCs w:val="21"/>
        </w:rPr>
        <w:t>知情，其中包括，如果拍卖邀请公证人参与证明拍卖活动的合法性，公证人亦有权知晓保密的保留价。</w:t>
      </w:r>
      <w:r w:rsidRPr="00F04162">
        <w:rPr>
          <w:rFonts w:ascii="微软雅黑" w:eastAsia="微软雅黑" w:hAnsi="微软雅黑" w:cs="黑体" w:hint="eastAsia"/>
          <w:color w:val="000000"/>
          <w:sz w:val="21"/>
          <w:szCs w:val="21"/>
        </w:rPr>
        <w:lastRenderedPageBreak/>
        <w:t>保留价的修改权从属于保留价的确定权，归委托人享有。拍卖标的有保留价的，竞买人的最高应价未达到保留价时，该应价不发生效力。（P430）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w:t>
      </w:r>
      <w:proofErr w:type="gramStart"/>
      <w:r w:rsidRPr="00F04162">
        <w:rPr>
          <w:rFonts w:ascii="微软雅黑" w:eastAsia="微软雅黑" w:hAnsi="微软雅黑" w:cs="黑体" w:hint="eastAsia"/>
          <w:color w:val="000000"/>
          <w:sz w:val="21"/>
          <w:szCs w:val="21"/>
        </w:rPr>
        <w:t>拍卖标的拍卖标的</w:t>
      </w:r>
      <w:proofErr w:type="gramEnd"/>
      <w:r w:rsidRPr="00F04162">
        <w:rPr>
          <w:rFonts w:ascii="微软雅黑" w:eastAsia="微软雅黑" w:hAnsi="微软雅黑" w:cs="黑体" w:hint="eastAsia"/>
          <w:color w:val="000000"/>
          <w:sz w:val="21"/>
          <w:szCs w:val="21"/>
        </w:rPr>
        <w:t>，可以通过拍卖方式转让的各种财产及财产权利。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（1）有形财产、无形资产。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（2）动产和不动产。不能移动或移动后会损害其内容、经济价值的为不动产，能够移动及移动后不会损害其内容、经济价值的为动产。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（3）允许流通物、限制流通物和禁止流通物。禁止流通的物品不能作为拍卖标的。限制流通物可以作为定向拍卖的标的物。</w:t>
      </w:r>
    </w:p>
    <w:p w:rsidR="006A250D" w:rsidRPr="00F04162" w:rsidRDefault="006A250D" w:rsidP="006F3EE2">
      <w:pPr>
        <w:spacing w:line="360" w:lineRule="auto"/>
        <w:rPr>
          <w:rFonts w:ascii="微软雅黑" w:eastAsia="微软雅黑" w:hAnsi="微软雅黑" w:cs="黑体"/>
          <w:szCs w:val="21"/>
        </w:rPr>
      </w:pPr>
    </w:p>
    <w:sectPr w:rsidR="006A250D" w:rsidRPr="00F04162" w:rsidSect="006A250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A9B" w:rsidRDefault="00DF0A9B" w:rsidP="006A250D">
      <w:r>
        <w:separator/>
      </w:r>
    </w:p>
  </w:endnote>
  <w:endnote w:type="continuationSeparator" w:id="0">
    <w:p w:rsidR="00DF0A9B" w:rsidRDefault="00DF0A9B" w:rsidP="006A25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6A250D" w:rsidRDefault="00FC6E42">
            <w:pPr>
              <w:pStyle w:val="a4"/>
              <w:jc w:val="center"/>
              <w:rPr>
                <w:b/>
                <w:sz w:val="24"/>
                <w:szCs w:val="24"/>
              </w:rPr>
            </w:pPr>
            <w:r>
              <w:rPr>
                <w:lang w:val="zh-CN"/>
              </w:rPr>
              <w:t xml:space="preserve"> </w:t>
            </w:r>
            <w:r w:rsidR="003D5C18">
              <w:rPr>
                <w:b/>
                <w:sz w:val="24"/>
                <w:szCs w:val="24"/>
              </w:rPr>
              <w:fldChar w:fldCharType="begin"/>
            </w:r>
            <w:r>
              <w:rPr>
                <w:b/>
              </w:rPr>
              <w:instrText>PAGE</w:instrText>
            </w:r>
            <w:r w:rsidR="003D5C18">
              <w:rPr>
                <w:b/>
                <w:sz w:val="24"/>
                <w:szCs w:val="24"/>
              </w:rPr>
              <w:fldChar w:fldCharType="separate"/>
            </w:r>
            <w:r w:rsidR="007B5B1B">
              <w:rPr>
                <w:b/>
                <w:noProof/>
              </w:rPr>
              <w:t>28</w:t>
            </w:r>
            <w:r w:rsidR="003D5C18">
              <w:rPr>
                <w:b/>
                <w:sz w:val="24"/>
                <w:szCs w:val="24"/>
              </w:rPr>
              <w:fldChar w:fldCharType="end"/>
            </w:r>
            <w:r>
              <w:rPr>
                <w:lang w:val="zh-CN"/>
              </w:rPr>
              <w:t xml:space="preserve"> / </w:t>
            </w:r>
            <w:r w:rsidR="003D5C18">
              <w:rPr>
                <w:b/>
                <w:sz w:val="24"/>
                <w:szCs w:val="24"/>
              </w:rPr>
              <w:fldChar w:fldCharType="begin"/>
            </w:r>
            <w:r>
              <w:rPr>
                <w:b/>
              </w:rPr>
              <w:instrText>NUMPAGES</w:instrText>
            </w:r>
            <w:r w:rsidR="003D5C18">
              <w:rPr>
                <w:b/>
                <w:sz w:val="24"/>
                <w:szCs w:val="24"/>
              </w:rPr>
              <w:fldChar w:fldCharType="separate"/>
            </w:r>
            <w:r w:rsidR="007B5B1B">
              <w:rPr>
                <w:b/>
                <w:noProof/>
              </w:rPr>
              <w:t>28</w:t>
            </w:r>
            <w:r w:rsidR="003D5C18">
              <w:rPr>
                <w:b/>
                <w:sz w:val="24"/>
                <w:szCs w:val="24"/>
              </w:rPr>
              <w:fldChar w:fldCharType="end"/>
            </w:r>
          </w:p>
          <w:p w:rsidR="006A250D" w:rsidRDefault="006A250D">
            <w:pPr>
              <w:pStyle w:val="a4"/>
              <w:jc w:val="center"/>
              <w:rPr>
                <w:b/>
                <w:sz w:val="24"/>
                <w:szCs w:val="24"/>
              </w:rPr>
            </w:pPr>
          </w:p>
          <w:p w:rsidR="006A250D" w:rsidRDefault="00FC6E42">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6A250D" w:rsidRDefault="00FC6E42">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6A250D" w:rsidRDefault="006A25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A9B" w:rsidRDefault="00DF0A9B" w:rsidP="006A250D">
      <w:r>
        <w:separator/>
      </w:r>
    </w:p>
  </w:footnote>
  <w:footnote w:type="continuationSeparator" w:id="0">
    <w:p w:rsidR="00DF0A9B" w:rsidRDefault="00DF0A9B" w:rsidP="006A2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E6CADC"/>
    <w:multiLevelType w:val="singleLevel"/>
    <w:tmpl w:val="80E6CADC"/>
    <w:lvl w:ilvl="0">
      <w:start w:val="1"/>
      <w:numFmt w:val="decimal"/>
      <w:lvlText w:val="%1."/>
      <w:lvlJc w:val="left"/>
      <w:pPr>
        <w:tabs>
          <w:tab w:val="left" w:pos="312"/>
        </w:tabs>
        <w:ind w:left="480" w:firstLine="0"/>
      </w:pPr>
    </w:lvl>
  </w:abstractNum>
  <w:abstractNum w:abstractNumId="1">
    <w:nsid w:val="AD8C5B39"/>
    <w:multiLevelType w:val="singleLevel"/>
    <w:tmpl w:val="AD8C5B39"/>
    <w:lvl w:ilvl="0">
      <w:start w:val="5"/>
      <w:numFmt w:val="decimal"/>
      <w:lvlText w:val="%1."/>
      <w:lvlJc w:val="left"/>
      <w:pPr>
        <w:tabs>
          <w:tab w:val="left" w:pos="312"/>
        </w:tabs>
        <w:ind w:left="480" w:firstLine="0"/>
      </w:pPr>
    </w:lvl>
  </w:abstractNum>
  <w:abstractNum w:abstractNumId="2">
    <w:nsid w:val="BA9E1C86"/>
    <w:multiLevelType w:val="singleLevel"/>
    <w:tmpl w:val="BA9E1C86"/>
    <w:lvl w:ilvl="0">
      <w:start w:val="1"/>
      <w:numFmt w:val="decimal"/>
      <w:lvlText w:val="%1."/>
      <w:lvlJc w:val="left"/>
      <w:pPr>
        <w:tabs>
          <w:tab w:val="left" w:pos="312"/>
        </w:tabs>
        <w:ind w:left="480" w:firstLine="0"/>
      </w:pPr>
    </w:lvl>
  </w:abstractNum>
  <w:abstractNum w:abstractNumId="3">
    <w:nsid w:val="D161E35C"/>
    <w:multiLevelType w:val="singleLevel"/>
    <w:tmpl w:val="D161E35C"/>
    <w:lvl w:ilvl="0">
      <w:start w:val="1"/>
      <w:numFmt w:val="decimal"/>
      <w:lvlText w:val="%1."/>
      <w:lvlJc w:val="left"/>
      <w:pPr>
        <w:tabs>
          <w:tab w:val="left" w:pos="312"/>
        </w:tabs>
        <w:ind w:left="480" w:firstLine="0"/>
      </w:pPr>
    </w:lvl>
  </w:abstractNum>
  <w:abstractNum w:abstractNumId="4">
    <w:nsid w:val="016DD344"/>
    <w:multiLevelType w:val="singleLevel"/>
    <w:tmpl w:val="016DD344"/>
    <w:lvl w:ilvl="0">
      <w:start w:val="4"/>
      <w:numFmt w:val="decimal"/>
      <w:suff w:val="nothing"/>
      <w:lvlText w:val="（%1）"/>
      <w:lvlJc w:val="left"/>
      <w:pPr>
        <w:ind w:left="480" w:firstLine="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3D5C18"/>
    <w:rsid w:val="005F011F"/>
    <w:rsid w:val="006A250D"/>
    <w:rsid w:val="006F3EE2"/>
    <w:rsid w:val="007B5B1B"/>
    <w:rsid w:val="008555E3"/>
    <w:rsid w:val="00BF37DF"/>
    <w:rsid w:val="00CD1EA8"/>
    <w:rsid w:val="00DF0A9B"/>
    <w:rsid w:val="00EA6440"/>
    <w:rsid w:val="00ED3D88"/>
    <w:rsid w:val="00F04162"/>
    <w:rsid w:val="00FA1F8A"/>
    <w:rsid w:val="00FC6E42"/>
    <w:rsid w:val="08A159D8"/>
    <w:rsid w:val="27FB2614"/>
    <w:rsid w:val="472A46BC"/>
    <w:rsid w:val="483464AB"/>
    <w:rsid w:val="4F1B6354"/>
    <w:rsid w:val="4FA8738A"/>
    <w:rsid w:val="50F16439"/>
    <w:rsid w:val="51813C26"/>
    <w:rsid w:val="541F66CD"/>
    <w:rsid w:val="54BF1798"/>
    <w:rsid w:val="55032C6F"/>
    <w:rsid w:val="5A8C17E0"/>
    <w:rsid w:val="60374BE2"/>
    <w:rsid w:val="63696CA7"/>
    <w:rsid w:val="6EDF3D9D"/>
    <w:rsid w:val="70C93E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5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250D"/>
    <w:rPr>
      <w:sz w:val="18"/>
      <w:szCs w:val="18"/>
    </w:rPr>
  </w:style>
  <w:style w:type="paragraph" w:styleId="a4">
    <w:name w:val="footer"/>
    <w:basedOn w:val="a"/>
    <w:link w:val="Char0"/>
    <w:uiPriority w:val="99"/>
    <w:unhideWhenUsed/>
    <w:qFormat/>
    <w:rsid w:val="006A250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A250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6A250D"/>
    <w:pPr>
      <w:spacing w:beforeAutospacing="1" w:afterAutospacing="1"/>
      <w:jc w:val="left"/>
    </w:pPr>
    <w:rPr>
      <w:rFonts w:cs="Times New Roman"/>
      <w:kern w:val="0"/>
      <w:sz w:val="24"/>
    </w:rPr>
  </w:style>
  <w:style w:type="character" w:styleId="a7">
    <w:name w:val="Strong"/>
    <w:basedOn w:val="a0"/>
    <w:qFormat/>
    <w:rsid w:val="006A250D"/>
    <w:rPr>
      <w:b/>
    </w:rPr>
  </w:style>
  <w:style w:type="character" w:styleId="a8">
    <w:name w:val="Hyperlink"/>
    <w:basedOn w:val="a0"/>
    <w:uiPriority w:val="99"/>
    <w:semiHidden/>
    <w:unhideWhenUsed/>
    <w:qFormat/>
    <w:rsid w:val="006A250D"/>
    <w:rPr>
      <w:color w:val="0000FF"/>
      <w:u w:val="single"/>
    </w:rPr>
  </w:style>
  <w:style w:type="character" w:customStyle="1" w:styleId="Char1">
    <w:name w:val="页眉 Char"/>
    <w:basedOn w:val="a0"/>
    <w:link w:val="a5"/>
    <w:uiPriority w:val="99"/>
    <w:semiHidden/>
    <w:qFormat/>
    <w:rsid w:val="006A250D"/>
    <w:rPr>
      <w:sz w:val="18"/>
      <w:szCs w:val="18"/>
    </w:rPr>
  </w:style>
  <w:style w:type="character" w:customStyle="1" w:styleId="Char0">
    <w:name w:val="页脚 Char"/>
    <w:basedOn w:val="a0"/>
    <w:link w:val="a4"/>
    <w:uiPriority w:val="99"/>
    <w:qFormat/>
    <w:rsid w:val="006A250D"/>
    <w:rPr>
      <w:sz w:val="18"/>
      <w:szCs w:val="18"/>
    </w:rPr>
  </w:style>
  <w:style w:type="character" w:customStyle="1" w:styleId="Char">
    <w:name w:val="批注框文本 Char"/>
    <w:basedOn w:val="a0"/>
    <w:link w:val="a3"/>
    <w:uiPriority w:val="99"/>
    <w:semiHidden/>
    <w:qFormat/>
    <w:rsid w:val="006A25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1867</Words>
  <Characters>10648</Characters>
  <Application>Microsoft Office Word</Application>
  <DocSecurity>0</DocSecurity>
  <Lines>88</Lines>
  <Paragraphs>24</Paragraphs>
  <ScaleCrop>false</ScaleCrop>
  <Company/>
  <LinksUpToDate>false</LinksUpToDate>
  <CharactersWithSpaces>12491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2018-08-20T06:37:00Z</dcterms:created>
  <dcterms:modified xsi:type="dcterms:W3CDTF">2018-10-17T01:37:00Z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