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85" w:rsidRPr="00782B33" w:rsidRDefault="001B7817" w:rsidP="00C608FA">
      <w:pPr>
        <w:pStyle w:val="a6"/>
        <w:widowControl/>
        <w:spacing w:before="150" w:beforeAutospacing="0" w:after="150" w:afterAutospacing="0" w:line="360" w:lineRule="auto"/>
        <w:jc w:val="center"/>
        <w:rPr>
          <w:rStyle w:val="a7"/>
          <w:rFonts w:ascii="微软雅黑" w:eastAsia="微软雅黑" w:hAnsi="微软雅黑" w:cs="黑体"/>
          <w:color w:val="000000"/>
          <w:sz w:val="28"/>
          <w:szCs w:val="28"/>
        </w:rPr>
      </w:pPr>
      <w:bookmarkStart w:id="0" w:name="_GoBack"/>
      <w:r w:rsidRPr="00782B33">
        <w:rPr>
          <w:rStyle w:val="a7"/>
          <w:rFonts w:ascii="微软雅黑" w:eastAsia="微软雅黑" w:hAnsi="微软雅黑" w:cs="黑体" w:hint="eastAsia"/>
          <w:color w:val="000000"/>
          <w:sz w:val="28"/>
          <w:szCs w:val="28"/>
        </w:rPr>
        <w:t>房地产估价师《经营与管理》高频考点</w:t>
      </w:r>
      <w:bookmarkEnd w:id="0"/>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房地产估价师《经营与管理》高频考点（第一章）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w:t>
      </w:r>
      <w:r w:rsidRPr="00782B33">
        <w:rPr>
          <w:rStyle w:val="a7"/>
          <w:rFonts w:ascii="微软雅黑" w:eastAsia="微软雅黑" w:hAnsi="微软雅黑" w:cs="黑体" w:hint="eastAsia"/>
          <w:color w:val="000000"/>
          <w:sz w:val="21"/>
          <w:szCs w:val="21"/>
        </w:rPr>
        <w:t>1、居住物业投资</w:t>
      </w:r>
    </w:p>
    <w:tbl>
      <w:tblPr>
        <w:tblW w:w="8304" w:type="dxa"/>
        <w:jc w:val="center"/>
        <w:tblCellSpacing w:w="0" w:type="dxa"/>
        <w:tblInd w:w="1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2339"/>
        <w:gridCol w:w="3609"/>
        <w:gridCol w:w="2356"/>
      </w:tblGrid>
      <w:tr w:rsidR="007E6485" w:rsidRPr="00782B33">
        <w:trPr>
          <w:tblCellSpacing w:w="0" w:type="dxa"/>
          <w:jc w:val="center"/>
        </w:trPr>
        <w:tc>
          <w:tcPr>
            <w:tcW w:w="2339" w:type="dxa"/>
            <w:shd w:val="clear" w:color="auto" w:fill="auto"/>
            <w:vAlign w:val="center"/>
          </w:tcPr>
          <w:p w:rsidR="007E6485" w:rsidRPr="00782B33" w:rsidRDefault="001B7817" w:rsidP="00C608FA">
            <w:pPr>
              <w:widowControl/>
              <w:spacing w:line="360" w:lineRule="auto"/>
              <w:jc w:val="center"/>
              <w:rPr>
                <w:rFonts w:ascii="微软雅黑" w:eastAsia="微软雅黑" w:hAnsi="微软雅黑" w:cs="黑体"/>
                <w:szCs w:val="21"/>
              </w:rPr>
            </w:pPr>
            <w:r w:rsidRPr="00782B33">
              <w:rPr>
                <w:rFonts w:ascii="微软雅黑" w:eastAsia="微软雅黑" w:hAnsi="微软雅黑" w:cs="黑体" w:hint="eastAsia"/>
                <w:kern w:val="0"/>
                <w:szCs w:val="21"/>
              </w:rPr>
              <w:t>内涵</w:t>
            </w:r>
          </w:p>
        </w:tc>
        <w:tc>
          <w:tcPr>
            <w:tcW w:w="3609" w:type="dxa"/>
            <w:shd w:val="clear" w:color="auto" w:fill="auto"/>
            <w:vAlign w:val="center"/>
          </w:tcPr>
          <w:p w:rsidR="007E6485" w:rsidRPr="00782B33" w:rsidRDefault="001B7817" w:rsidP="00C608FA">
            <w:pPr>
              <w:widowControl/>
              <w:spacing w:line="360" w:lineRule="auto"/>
              <w:jc w:val="center"/>
              <w:rPr>
                <w:rFonts w:ascii="微软雅黑" w:eastAsia="微软雅黑" w:hAnsi="微软雅黑" w:cs="黑体"/>
                <w:szCs w:val="21"/>
              </w:rPr>
            </w:pPr>
            <w:r w:rsidRPr="00782B33">
              <w:rPr>
                <w:rFonts w:ascii="微软雅黑" w:eastAsia="微软雅黑" w:hAnsi="微软雅黑" w:cs="黑体" w:hint="eastAsia"/>
                <w:kern w:val="0"/>
                <w:szCs w:val="21"/>
              </w:rPr>
              <w:t>主要类型</w:t>
            </w:r>
          </w:p>
        </w:tc>
        <w:tc>
          <w:tcPr>
            <w:tcW w:w="2356" w:type="dxa"/>
            <w:shd w:val="clear" w:color="auto" w:fill="auto"/>
            <w:vAlign w:val="center"/>
          </w:tcPr>
          <w:p w:rsidR="007E6485" w:rsidRPr="00782B33" w:rsidRDefault="001B7817" w:rsidP="00C608FA">
            <w:pPr>
              <w:widowControl/>
              <w:spacing w:line="360" w:lineRule="auto"/>
              <w:jc w:val="center"/>
              <w:rPr>
                <w:rFonts w:ascii="微软雅黑" w:eastAsia="微软雅黑" w:hAnsi="微软雅黑" w:cs="黑体"/>
                <w:szCs w:val="21"/>
              </w:rPr>
            </w:pPr>
            <w:r w:rsidRPr="00782B33">
              <w:rPr>
                <w:rFonts w:ascii="微软雅黑" w:eastAsia="微软雅黑" w:hAnsi="微软雅黑" w:cs="黑体" w:hint="eastAsia"/>
                <w:kern w:val="0"/>
                <w:szCs w:val="21"/>
              </w:rPr>
              <w:t>特点</w:t>
            </w:r>
          </w:p>
        </w:tc>
      </w:tr>
      <w:tr w:rsidR="007E6485" w:rsidRPr="00782B33">
        <w:trPr>
          <w:tblCellSpacing w:w="0" w:type="dxa"/>
          <w:jc w:val="center"/>
        </w:trPr>
        <w:tc>
          <w:tcPr>
            <w:tcW w:w="2339"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供人们生活居住的房地产</w:t>
            </w:r>
          </w:p>
        </w:tc>
        <w:tc>
          <w:tcPr>
            <w:tcW w:w="3609"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■公共住房</w:t>
            </w:r>
            <w:r w:rsidRPr="00782B33">
              <w:rPr>
                <w:rFonts w:ascii="微软雅黑" w:eastAsia="微软雅黑" w:hAnsi="微软雅黑" w:cs="黑体" w:hint="eastAsia"/>
                <w:kern w:val="0"/>
                <w:szCs w:val="21"/>
              </w:rPr>
              <w:br/>
              <w:t>·廉租住房（低收入家庭出租）</w:t>
            </w:r>
            <w:r w:rsidRPr="00782B33">
              <w:rPr>
                <w:rFonts w:ascii="微软雅黑" w:eastAsia="微软雅黑" w:hAnsi="微软雅黑" w:cs="黑体" w:hint="eastAsia"/>
                <w:kern w:val="0"/>
                <w:szCs w:val="21"/>
              </w:rPr>
              <w:br/>
              <w:t>·经济适用住房（低收入家庭出售）</w:t>
            </w:r>
            <w:r w:rsidRPr="00782B33">
              <w:rPr>
                <w:rFonts w:ascii="微软雅黑" w:eastAsia="微软雅黑" w:hAnsi="微软雅黑" w:cs="黑体" w:hint="eastAsia"/>
                <w:kern w:val="0"/>
                <w:szCs w:val="21"/>
              </w:rPr>
              <w:br/>
              <w:t>·限价商品住房（中等收入家庭出售）</w:t>
            </w:r>
            <w:r w:rsidRPr="00782B33">
              <w:rPr>
                <w:rFonts w:ascii="微软雅黑" w:eastAsia="微软雅黑" w:hAnsi="微软雅黑" w:cs="黑体" w:hint="eastAsia"/>
                <w:kern w:val="0"/>
                <w:szCs w:val="21"/>
              </w:rPr>
              <w:br/>
              <w:t>·公共租赁住房（中等收入家庭出租）</w:t>
            </w:r>
            <w:r w:rsidRPr="00782B33">
              <w:rPr>
                <w:rFonts w:ascii="微软雅黑" w:eastAsia="微软雅黑" w:hAnsi="微软雅黑" w:cs="黑体" w:hint="eastAsia"/>
                <w:kern w:val="0"/>
                <w:szCs w:val="21"/>
              </w:rPr>
              <w:br/>
              <w:t>■商品住房</w:t>
            </w:r>
            <w:r w:rsidRPr="00782B33">
              <w:rPr>
                <w:rFonts w:ascii="微软雅黑" w:eastAsia="微软雅黑" w:hAnsi="微软雅黑" w:cs="黑体" w:hint="eastAsia"/>
                <w:kern w:val="0"/>
                <w:szCs w:val="21"/>
              </w:rPr>
              <w:br/>
              <w:t>·普通住宅</w:t>
            </w:r>
            <w:r w:rsidRPr="00782B33">
              <w:rPr>
                <w:rFonts w:ascii="微软雅黑" w:eastAsia="微软雅黑" w:hAnsi="微软雅黑" w:cs="黑体" w:hint="eastAsia"/>
                <w:kern w:val="0"/>
                <w:szCs w:val="21"/>
              </w:rPr>
              <w:br/>
              <w:t>·高档住宅</w:t>
            </w:r>
            <w:r w:rsidRPr="00782B33">
              <w:rPr>
                <w:rFonts w:ascii="微软雅黑" w:eastAsia="微软雅黑" w:hAnsi="微软雅黑" w:cs="黑体" w:hint="eastAsia"/>
                <w:kern w:val="0"/>
                <w:szCs w:val="21"/>
              </w:rPr>
              <w:br/>
              <w:t>·公寓</w:t>
            </w:r>
            <w:r w:rsidRPr="00782B33">
              <w:rPr>
                <w:rFonts w:ascii="微软雅黑" w:eastAsia="微软雅黑" w:hAnsi="微软雅黑" w:cs="黑体" w:hint="eastAsia"/>
                <w:kern w:val="0"/>
                <w:szCs w:val="21"/>
              </w:rPr>
              <w:br/>
              <w:t>·别墅</w:t>
            </w:r>
          </w:p>
        </w:tc>
        <w:tc>
          <w:tcPr>
            <w:tcW w:w="2356"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自用或出租，投资风险小</w:t>
            </w:r>
          </w:p>
        </w:tc>
      </w:tr>
    </w:tbl>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w:t>
      </w:r>
      <w:r w:rsidRPr="00782B33">
        <w:rPr>
          <w:rStyle w:val="a7"/>
          <w:rFonts w:ascii="微软雅黑" w:eastAsia="微软雅黑" w:hAnsi="微软雅黑" w:cs="黑体" w:hint="eastAsia"/>
          <w:color w:val="000000"/>
          <w:sz w:val="21"/>
          <w:szCs w:val="21"/>
        </w:rPr>
        <w:t>2、投资的分类</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（1）按投资期限或投资回收期长短：短期投资（一年以内）和长期投资（一年以上）；</w:t>
      </w:r>
    </w:p>
    <w:p w:rsidR="007E6485" w:rsidRPr="00782B33" w:rsidRDefault="001B7817" w:rsidP="00C608FA">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（2）按投资人能否直接控制其投资资金：直接投资（直接用资金办实业）和间接投资（购买有价证券）；</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（3）按投资对象存在形式：金融投资（预先垫付货币形成金融资产）和实物投资（预先垫付货币形成实物资产）；</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（4）按投资的经济用途：生产性投资（投入到物质生产领域）和非生产性投资（投入到非物质生产领域）。（P1～P2）</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w:t>
      </w:r>
      <w:r w:rsidRPr="00782B33">
        <w:rPr>
          <w:rStyle w:val="a7"/>
          <w:rFonts w:ascii="微软雅黑" w:eastAsia="微软雅黑" w:hAnsi="微软雅黑" w:cs="黑体" w:hint="eastAsia"/>
          <w:color w:val="000000"/>
          <w:sz w:val="21"/>
          <w:szCs w:val="21"/>
        </w:rPr>
        <w:t>3、房地产投资概述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【典型例题】我国目前的房地产市场，是在普通的二线城市存在供不应求的状况，所以存在价格上涨的压力。 （　）</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[正确答案]×</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[答案解析]本题考查的是房地产投资概述。普通二线城市和大部分三四线城市，面临需求不足、供给过剩的去库存压力。参见教材P6。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w:t>
      </w:r>
      <w:r w:rsidRPr="00782B33">
        <w:rPr>
          <w:rStyle w:val="a7"/>
          <w:rFonts w:ascii="微软雅黑" w:eastAsia="微软雅黑" w:hAnsi="微软雅黑" w:cs="黑体" w:hint="eastAsia"/>
          <w:color w:val="000000"/>
          <w:sz w:val="21"/>
          <w:szCs w:val="21"/>
        </w:rPr>
        <w:t>4.房地产投资的利与弊（四利三弊）</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优点：（1）相对较高的收益水平；（2）易获得金融机构的支持；（3）能抵消通货膨胀的影响；（4）提高投资者的资信等级。</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缺点：（1）投资数额巨大；（2）投资回收期较长；（3）需要专门的知识和经验。（P13～P16）</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房地产估价师《经营与管理》高频考点（第二章）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1.房地产市场的运行环境</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（1）社会因素：人口数量和结构、家庭结构及其变化、家庭生命周期、传统观念及消费心理、社会福利、社区和城市发展形态等。</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（2）经济因素：经济发展状况、产业与结构布局、基础设施状况、工资及就业水平、家庭收人及其分布、支付能力与物价水平等。（P31）</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2.房地产市场的含义</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■一般的定义·指从事房地产交易活动的场所，以及交易的途径与形式。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■经济学的定义·指潜在的房地产买者和卖者，以及当前的房地产交易活动。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■房地产市场体系包括·交易当事人－主体·作为交易对象的房地产资产－客体·交易制度－制度·促进交易的组织机构－中介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3.房地产市场指标（四大类40小项）（P39～P44）</w:t>
      </w:r>
    </w:p>
    <w:tbl>
      <w:tblPr>
        <w:tblW w:w="8305" w:type="dxa"/>
        <w:jc w:val="center"/>
        <w:tblCellSpacing w:w="0" w:type="dxa"/>
        <w:tblInd w:w="1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1802"/>
        <w:gridCol w:w="2664"/>
        <w:gridCol w:w="1473"/>
        <w:gridCol w:w="2366"/>
      </w:tblGrid>
      <w:tr w:rsidR="007E6485" w:rsidRPr="00782B33">
        <w:trPr>
          <w:tblCellSpacing w:w="0" w:type="dxa"/>
          <w:jc w:val="center"/>
        </w:trPr>
        <w:tc>
          <w:tcPr>
            <w:tcW w:w="1802"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供给指标</w:t>
            </w:r>
            <w:r w:rsidRPr="00782B33">
              <w:rPr>
                <w:rFonts w:ascii="微软雅黑" w:eastAsia="微软雅黑" w:hAnsi="微软雅黑" w:cs="黑体" w:hint="eastAsia"/>
                <w:kern w:val="0"/>
                <w:szCs w:val="21"/>
              </w:rPr>
              <w:br/>
              <w:t>（10项）</w:t>
            </w:r>
          </w:p>
        </w:tc>
        <w:tc>
          <w:tcPr>
            <w:tcW w:w="2664"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需求指标</w:t>
            </w:r>
            <w:r w:rsidRPr="00782B33">
              <w:rPr>
                <w:rFonts w:ascii="微软雅黑" w:eastAsia="微软雅黑" w:hAnsi="微软雅黑" w:cs="黑体" w:hint="eastAsia"/>
                <w:kern w:val="0"/>
                <w:szCs w:val="21"/>
              </w:rPr>
              <w:br/>
              <w:t>（11项）</w:t>
            </w:r>
          </w:p>
        </w:tc>
        <w:tc>
          <w:tcPr>
            <w:tcW w:w="1473"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市场交易指标（9项）</w:t>
            </w:r>
          </w:p>
        </w:tc>
        <w:tc>
          <w:tcPr>
            <w:tcW w:w="2366"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市场监测与预警指标（10项）</w:t>
            </w:r>
          </w:p>
        </w:tc>
      </w:tr>
      <w:tr w:rsidR="007E6485" w:rsidRPr="00782B33">
        <w:trPr>
          <w:tblCellSpacing w:w="0" w:type="dxa"/>
          <w:jc w:val="center"/>
        </w:trPr>
        <w:tc>
          <w:tcPr>
            <w:tcW w:w="1802"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■新竣工量</w:t>
            </w:r>
            <w:r w:rsidRPr="00782B33">
              <w:rPr>
                <w:rFonts w:ascii="微软雅黑" w:eastAsia="微软雅黑" w:hAnsi="微软雅黑" w:cs="黑体" w:hint="eastAsia"/>
                <w:kern w:val="0"/>
                <w:szCs w:val="21"/>
              </w:rPr>
              <w:br/>
              <w:t>■灭失量</w:t>
            </w:r>
            <w:r w:rsidRPr="00782B33">
              <w:rPr>
                <w:rFonts w:ascii="微软雅黑" w:eastAsia="微软雅黑" w:hAnsi="微软雅黑" w:cs="黑体" w:hint="eastAsia"/>
                <w:kern w:val="0"/>
                <w:szCs w:val="21"/>
              </w:rPr>
              <w:br/>
              <w:t>■存量</w:t>
            </w:r>
            <w:r w:rsidRPr="00782B33">
              <w:rPr>
                <w:rFonts w:ascii="微软雅黑" w:eastAsia="微软雅黑" w:hAnsi="微软雅黑" w:cs="黑体" w:hint="eastAsia"/>
                <w:kern w:val="0"/>
                <w:szCs w:val="21"/>
              </w:rPr>
              <w:br/>
              <w:t>■空置量</w:t>
            </w:r>
            <w:r w:rsidRPr="00782B33">
              <w:rPr>
                <w:rFonts w:ascii="微软雅黑" w:eastAsia="微软雅黑" w:hAnsi="微软雅黑" w:cs="黑体" w:hint="eastAsia"/>
                <w:kern w:val="0"/>
                <w:szCs w:val="21"/>
              </w:rPr>
              <w:br/>
            </w:r>
            <w:r w:rsidRPr="00782B33">
              <w:rPr>
                <w:rFonts w:ascii="微软雅黑" w:eastAsia="微软雅黑" w:hAnsi="微软雅黑" w:cs="黑体" w:hint="eastAsia"/>
                <w:kern w:val="0"/>
                <w:szCs w:val="21"/>
              </w:rPr>
              <w:lastRenderedPageBreak/>
              <w:t>■空置率</w:t>
            </w:r>
            <w:r w:rsidRPr="00782B33">
              <w:rPr>
                <w:rFonts w:ascii="微软雅黑" w:eastAsia="微软雅黑" w:hAnsi="微软雅黑" w:cs="黑体" w:hint="eastAsia"/>
                <w:kern w:val="0"/>
                <w:szCs w:val="21"/>
              </w:rPr>
              <w:br/>
              <w:t>■可供租售量</w:t>
            </w:r>
            <w:r w:rsidRPr="00782B33">
              <w:rPr>
                <w:rFonts w:ascii="微软雅黑" w:eastAsia="微软雅黑" w:hAnsi="微软雅黑" w:cs="黑体" w:hint="eastAsia"/>
                <w:kern w:val="0"/>
                <w:szCs w:val="21"/>
              </w:rPr>
              <w:br/>
              <w:t>■房屋施工面积</w:t>
            </w:r>
            <w:r w:rsidRPr="00782B33">
              <w:rPr>
                <w:rFonts w:ascii="微软雅黑" w:eastAsia="微软雅黑" w:hAnsi="微软雅黑" w:cs="黑体" w:hint="eastAsia"/>
                <w:kern w:val="0"/>
                <w:szCs w:val="21"/>
              </w:rPr>
              <w:br/>
              <w:t>■房屋新开工面积</w:t>
            </w:r>
            <w:r w:rsidRPr="00782B33">
              <w:rPr>
                <w:rFonts w:ascii="微软雅黑" w:eastAsia="微软雅黑" w:hAnsi="微软雅黑" w:cs="黑体" w:hint="eastAsia"/>
                <w:kern w:val="0"/>
                <w:szCs w:val="21"/>
              </w:rPr>
              <w:br/>
              <w:t>■平均建设周期</w:t>
            </w:r>
            <w:r w:rsidRPr="00782B33">
              <w:rPr>
                <w:rFonts w:ascii="微软雅黑" w:eastAsia="微软雅黑" w:hAnsi="微软雅黑" w:cs="黑体" w:hint="eastAsia"/>
                <w:kern w:val="0"/>
                <w:szCs w:val="21"/>
              </w:rPr>
              <w:br/>
              <w:t>■竣工房屋价值</w:t>
            </w:r>
          </w:p>
        </w:tc>
        <w:tc>
          <w:tcPr>
            <w:tcW w:w="2664"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lastRenderedPageBreak/>
              <w:t>■国内生产总值</w:t>
            </w:r>
            <w:r w:rsidRPr="00782B33">
              <w:rPr>
                <w:rFonts w:ascii="微软雅黑" w:eastAsia="微软雅黑" w:hAnsi="微软雅黑" w:cs="黑体" w:hint="eastAsia"/>
                <w:kern w:val="0"/>
                <w:szCs w:val="21"/>
              </w:rPr>
              <w:br/>
              <w:t>■人口数量</w:t>
            </w:r>
            <w:r w:rsidRPr="00782B33">
              <w:rPr>
                <w:rFonts w:ascii="微软雅黑" w:eastAsia="微软雅黑" w:hAnsi="微软雅黑" w:cs="黑体" w:hint="eastAsia"/>
                <w:kern w:val="0"/>
                <w:szCs w:val="21"/>
              </w:rPr>
              <w:br/>
              <w:t>■家庭户规模</w:t>
            </w:r>
            <w:r w:rsidRPr="00782B33">
              <w:rPr>
                <w:rFonts w:ascii="微软雅黑" w:eastAsia="微软雅黑" w:hAnsi="微软雅黑" w:cs="黑体" w:hint="eastAsia"/>
                <w:kern w:val="0"/>
                <w:szCs w:val="21"/>
              </w:rPr>
              <w:br/>
              <w:t>■就业人员数量</w:t>
            </w:r>
            <w:r w:rsidRPr="00782B33">
              <w:rPr>
                <w:rFonts w:ascii="微软雅黑" w:eastAsia="微软雅黑" w:hAnsi="微软雅黑" w:cs="黑体" w:hint="eastAsia"/>
                <w:kern w:val="0"/>
                <w:szCs w:val="21"/>
              </w:rPr>
              <w:br/>
            </w:r>
            <w:r w:rsidRPr="00782B33">
              <w:rPr>
                <w:rFonts w:ascii="微软雅黑" w:eastAsia="微软雅黑" w:hAnsi="微软雅黑" w:cs="黑体" w:hint="eastAsia"/>
                <w:kern w:val="0"/>
                <w:szCs w:val="21"/>
              </w:rPr>
              <w:lastRenderedPageBreak/>
              <w:t>■就业分布</w:t>
            </w:r>
            <w:r w:rsidRPr="00782B33">
              <w:rPr>
                <w:rFonts w:ascii="微软雅黑" w:eastAsia="微软雅黑" w:hAnsi="微软雅黑" w:cs="黑体" w:hint="eastAsia"/>
                <w:kern w:val="0"/>
                <w:szCs w:val="21"/>
              </w:rPr>
              <w:br/>
              <w:t>■城镇登记失业率</w:t>
            </w:r>
            <w:r w:rsidRPr="00782B33">
              <w:rPr>
                <w:rFonts w:ascii="微软雅黑" w:eastAsia="微软雅黑" w:hAnsi="微软雅黑" w:cs="黑体" w:hint="eastAsia"/>
                <w:kern w:val="0"/>
                <w:szCs w:val="21"/>
              </w:rPr>
              <w:br/>
              <w:t>■家庭可支配收入</w:t>
            </w:r>
            <w:r w:rsidRPr="00782B33">
              <w:rPr>
                <w:rFonts w:ascii="微软雅黑" w:eastAsia="微软雅黑" w:hAnsi="微软雅黑" w:cs="黑体" w:hint="eastAsia"/>
                <w:kern w:val="0"/>
                <w:szCs w:val="21"/>
              </w:rPr>
              <w:br/>
              <w:t>■家庭总支出</w:t>
            </w:r>
            <w:r w:rsidRPr="00782B33">
              <w:rPr>
                <w:rFonts w:ascii="微软雅黑" w:eastAsia="微软雅黑" w:hAnsi="微软雅黑" w:cs="黑体" w:hint="eastAsia"/>
                <w:kern w:val="0"/>
                <w:szCs w:val="21"/>
              </w:rPr>
              <w:br/>
              <w:t>■房屋空间使用数量</w:t>
            </w:r>
            <w:r w:rsidRPr="00782B33">
              <w:rPr>
                <w:rFonts w:ascii="微软雅黑" w:eastAsia="微软雅黑" w:hAnsi="微软雅黑" w:cs="黑体" w:hint="eastAsia"/>
                <w:kern w:val="0"/>
                <w:szCs w:val="21"/>
              </w:rPr>
              <w:br/>
              <w:t>■商品零售价格指数</w:t>
            </w:r>
            <w:r w:rsidRPr="00782B33">
              <w:rPr>
                <w:rFonts w:ascii="微软雅黑" w:eastAsia="微软雅黑" w:hAnsi="微软雅黑" w:cs="黑体" w:hint="eastAsia"/>
                <w:kern w:val="0"/>
                <w:szCs w:val="21"/>
              </w:rPr>
              <w:br/>
              <w:t>■居民消费价格指数</w:t>
            </w:r>
          </w:p>
        </w:tc>
        <w:tc>
          <w:tcPr>
            <w:tcW w:w="1473"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lastRenderedPageBreak/>
              <w:t>■销售量</w:t>
            </w:r>
            <w:r w:rsidRPr="00782B33">
              <w:rPr>
                <w:rFonts w:ascii="微软雅黑" w:eastAsia="微软雅黑" w:hAnsi="微软雅黑" w:cs="黑体" w:hint="eastAsia"/>
                <w:kern w:val="0"/>
                <w:szCs w:val="21"/>
              </w:rPr>
              <w:br/>
              <w:t>■出租量</w:t>
            </w:r>
            <w:r w:rsidRPr="00782B33">
              <w:rPr>
                <w:rFonts w:ascii="微软雅黑" w:eastAsia="微软雅黑" w:hAnsi="微软雅黑" w:cs="黑体" w:hint="eastAsia"/>
                <w:kern w:val="0"/>
                <w:szCs w:val="21"/>
              </w:rPr>
              <w:br/>
              <w:t>■吸纳量</w:t>
            </w:r>
            <w:r w:rsidRPr="00782B33">
              <w:rPr>
                <w:rFonts w:ascii="微软雅黑" w:eastAsia="微软雅黑" w:hAnsi="微软雅黑" w:cs="黑体" w:hint="eastAsia"/>
                <w:kern w:val="0"/>
                <w:szCs w:val="21"/>
              </w:rPr>
              <w:br/>
              <w:t>■</w:t>
            </w:r>
            <w:proofErr w:type="gramStart"/>
            <w:r w:rsidRPr="00782B33">
              <w:rPr>
                <w:rFonts w:ascii="微软雅黑" w:eastAsia="微软雅黑" w:hAnsi="微软雅黑" w:cs="黑体" w:hint="eastAsia"/>
                <w:kern w:val="0"/>
                <w:szCs w:val="21"/>
              </w:rPr>
              <w:t>吸纳率</w:t>
            </w:r>
            <w:proofErr w:type="gramEnd"/>
            <w:r w:rsidRPr="00782B33">
              <w:rPr>
                <w:rFonts w:ascii="微软雅黑" w:eastAsia="微软雅黑" w:hAnsi="微软雅黑" w:cs="黑体" w:hint="eastAsia"/>
                <w:kern w:val="0"/>
                <w:szCs w:val="21"/>
              </w:rPr>
              <w:br/>
            </w:r>
            <w:r w:rsidRPr="00782B33">
              <w:rPr>
                <w:rFonts w:ascii="微软雅黑" w:eastAsia="微软雅黑" w:hAnsi="微软雅黑" w:cs="黑体" w:hint="eastAsia"/>
                <w:kern w:val="0"/>
                <w:szCs w:val="21"/>
              </w:rPr>
              <w:lastRenderedPageBreak/>
              <w:t>■吸纳周期</w:t>
            </w:r>
            <w:r w:rsidRPr="00782B33">
              <w:rPr>
                <w:rFonts w:ascii="微软雅黑" w:eastAsia="微软雅黑" w:hAnsi="微软雅黑" w:cs="黑体" w:hint="eastAsia"/>
                <w:kern w:val="0"/>
                <w:szCs w:val="21"/>
              </w:rPr>
              <w:br/>
              <w:t>■预售面积</w:t>
            </w:r>
            <w:r w:rsidRPr="00782B33">
              <w:rPr>
                <w:rFonts w:ascii="微软雅黑" w:eastAsia="微软雅黑" w:hAnsi="微软雅黑" w:cs="黑体" w:hint="eastAsia"/>
                <w:kern w:val="0"/>
                <w:szCs w:val="21"/>
              </w:rPr>
              <w:br/>
              <w:t>■房地产价格</w:t>
            </w:r>
            <w:r w:rsidRPr="00782B33">
              <w:rPr>
                <w:rFonts w:ascii="微软雅黑" w:eastAsia="微软雅黑" w:hAnsi="微软雅黑" w:cs="黑体" w:hint="eastAsia"/>
                <w:kern w:val="0"/>
                <w:szCs w:val="21"/>
              </w:rPr>
              <w:br/>
              <w:t>■房地产租金</w:t>
            </w:r>
            <w:r w:rsidRPr="00782B33">
              <w:rPr>
                <w:rFonts w:ascii="微软雅黑" w:eastAsia="微软雅黑" w:hAnsi="微软雅黑" w:cs="黑体" w:hint="eastAsia"/>
                <w:kern w:val="0"/>
                <w:szCs w:val="21"/>
              </w:rPr>
              <w:br/>
              <w:t>■房地产价格指数</w:t>
            </w:r>
          </w:p>
        </w:tc>
        <w:tc>
          <w:tcPr>
            <w:tcW w:w="2366"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lastRenderedPageBreak/>
              <w:t>■土地转化率</w:t>
            </w:r>
            <w:r w:rsidRPr="00782B33">
              <w:rPr>
                <w:rFonts w:ascii="微软雅黑" w:eastAsia="微软雅黑" w:hAnsi="微软雅黑" w:cs="黑体" w:hint="eastAsia"/>
                <w:kern w:val="0"/>
                <w:szCs w:val="21"/>
              </w:rPr>
              <w:br/>
              <w:t>■开发强度系数</w:t>
            </w:r>
            <w:r w:rsidRPr="00782B33">
              <w:rPr>
                <w:rFonts w:ascii="微软雅黑" w:eastAsia="微软雅黑" w:hAnsi="微软雅黑" w:cs="黑体" w:hint="eastAsia"/>
                <w:kern w:val="0"/>
                <w:szCs w:val="21"/>
              </w:rPr>
              <w:br/>
              <w:t>■开发投资杠杆率</w:t>
            </w:r>
            <w:r w:rsidRPr="00782B33">
              <w:rPr>
                <w:rFonts w:ascii="微软雅黑" w:eastAsia="微软雅黑" w:hAnsi="微软雅黑" w:cs="黑体" w:hint="eastAsia"/>
                <w:kern w:val="0"/>
                <w:szCs w:val="21"/>
              </w:rPr>
              <w:br/>
              <w:t>■住房可支付性指数</w:t>
            </w:r>
            <w:r w:rsidRPr="00782B33">
              <w:rPr>
                <w:rFonts w:ascii="微软雅黑" w:eastAsia="微软雅黑" w:hAnsi="微软雅黑" w:cs="黑体" w:hint="eastAsia"/>
                <w:kern w:val="0"/>
                <w:szCs w:val="21"/>
              </w:rPr>
              <w:br/>
            </w:r>
            <w:r w:rsidRPr="00782B33">
              <w:rPr>
                <w:rFonts w:ascii="微软雅黑" w:eastAsia="微软雅黑" w:hAnsi="微软雅黑" w:cs="黑体" w:hint="eastAsia"/>
                <w:kern w:val="0"/>
                <w:szCs w:val="21"/>
              </w:rPr>
              <w:lastRenderedPageBreak/>
              <w:t>■住房价格合理性指数</w:t>
            </w:r>
            <w:r w:rsidRPr="00782B33">
              <w:rPr>
                <w:rFonts w:ascii="微软雅黑" w:eastAsia="微软雅黑" w:hAnsi="微软雅黑" w:cs="黑体" w:hint="eastAsia"/>
                <w:kern w:val="0"/>
                <w:szCs w:val="21"/>
              </w:rPr>
              <w:br/>
              <w:t>■房价租金比</w:t>
            </w:r>
            <w:r w:rsidRPr="00782B33">
              <w:rPr>
                <w:rFonts w:ascii="微软雅黑" w:eastAsia="微软雅黑" w:hAnsi="微软雅黑" w:cs="黑体" w:hint="eastAsia"/>
                <w:kern w:val="0"/>
                <w:szCs w:val="21"/>
              </w:rPr>
              <w:br/>
              <w:t>■量价弹性</w:t>
            </w:r>
            <w:r w:rsidRPr="00782B33">
              <w:rPr>
                <w:rFonts w:ascii="微软雅黑" w:eastAsia="微软雅黑" w:hAnsi="微软雅黑" w:cs="黑体" w:hint="eastAsia"/>
                <w:kern w:val="0"/>
                <w:szCs w:val="21"/>
              </w:rPr>
              <w:br/>
              <w:t>■个人住房抵押贷款还款收入比</w:t>
            </w:r>
            <w:r w:rsidRPr="00782B33">
              <w:rPr>
                <w:rFonts w:ascii="微软雅黑" w:eastAsia="微软雅黑" w:hAnsi="微软雅黑" w:cs="黑体" w:hint="eastAsia"/>
                <w:kern w:val="0"/>
                <w:szCs w:val="21"/>
              </w:rPr>
              <w:br/>
              <w:t>■住房市场指数</w:t>
            </w:r>
            <w:r w:rsidRPr="00782B33">
              <w:rPr>
                <w:rFonts w:ascii="微软雅黑" w:eastAsia="微软雅黑" w:hAnsi="微软雅黑" w:cs="黑体" w:hint="eastAsia"/>
                <w:kern w:val="0"/>
                <w:szCs w:val="21"/>
              </w:rPr>
              <w:br/>
              <w:t>■消费者信心指数</w:t>
            </w:r>
          </w:p>
        </w:tc>
      </w:tr>
    </w:tbl>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（1）存量＝上期存量+报告期竣工量-报告期灭失量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（2）可供租售量＝上期可供租售数量-上期吸纳量+报告期新竣工量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（3）吸纳周期＝1/吸纳率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（4）开发投资杠杆率＝房地产开发投资/自有资金或权益资本（反映企业财务风险水平，值越高，</w:t>
      </w:r>
      <w:proofErr w:type="gramStart"/>
      <w:r w:rsidRPr="00782B33">
        <w:rPr>
          <w:rFonts w:ascii="微软雅黑" w:eastAsia="微软雅黑" w:hAnsi="微软雅黑" w:cs="黑体" w:hint="eastAsia"/>
          <w:color w:val="000000"/>
          <w:sz w:val="21"/>
          <w:szCs w:val="21"/>
        </w:rPr>
        <w:t>说明自</w:t>
      </w:r>
      <w:proofErr w:type="gramEnd"/>
      <w:r w:rsidRPr="00782B33">
        <w:rPr>
          <w:rFonts w:ascii="微软雅黑" w:eastAsia="微软雅黑" w:hAnsi="微软雅黑" w:cs="黑体" w:hint="eastAsia"/>
          <w:color w:val="000000"/>
          <w:sz w:val="21"/>
          <w:szCs w:val="21"/>
        </w:rPr>
        <w:t>有资金越少，风险越大）</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（5）住房可支付性指数（HAI）</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HAI＝100，说明中位数收入水平的家庭正好能承受中位数价格的住房</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HAI＞100，居民家庭能够承受更高价格的住房，房价相对于收入来说低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HAI＜100，居民家庭能够承受更低价格的住房，房价相对于收入来说高了</w:t>
      </w:r>
      <w:proofErr w:type="gramStart"/>
      <w:r w:rsidRPr="00782B33">
        <w:rPr>
          <w:rFonts w:ascii="微软雅黑" w:eastAsia="微软雅黑" w:hAnsi="微软雅黑" w:cs="黑体" w:hint="eastAsia"/>
          <w:color w:val="000000"/>
          <w:sz w:val="21"/>
          <w:szCs w:val="21"/>
        </w:rPr>
        <w:t xml:space="preserve">　　　　　</w:t>
      </w:r>
      <w:proofErr w:type="gramEnd"/>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（6）住房价格合理性指数，从经济基本面可支撑住房价格的角度，对当前实际住房价格合理性做出判断。</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4.房地产市场细分（五种分类）</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4.1按地域范围细分（区域性市场）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■按城市划分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■按城市内的某一具体区域划分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■按省或自治区划分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■按大片区进行划分</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4.2按房地产用途细分</w:t>
      </w:r>
    </w:p>
    <w:p w:rsidR="007E6485" w:rsidRPr="00782B33" w:rsidRDefault="001B7817" w:rsidP="00C608FA">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■居住物业市场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■商业物业市场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■工业物业市场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■特殊物业市场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■土地市场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不同类型房地产在投资决策、规划设计、工程建设、产品功能、面向客户的类型等方面均存在较大的差异，因此需要按照房地产的用途，将其分解为若干子市场。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5需求指标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■国内生产总值</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■人口数量-户籍人口、常住人口、现有人口</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■家庭户规模</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■就业人员数量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■就业分布</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■城镇登记失业率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■家庭可支配收入</w:t>
      </w:r>
    </w:p>
    <w:p w:rsidR="007E6485" w:rsidRPr="00782B33" w:rsidRDefault="001B7817" w:rsidP="00B560C1">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■家庭总支出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■房屋空间使用数量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■商品零售价格指数</w:t>
      </w:r>
    </w:p>
    <w:p w:rsidR="007E6485" w:rsidRPr="00782B33" w:rsidRDefault="001B7817" w:rsidP="00B560C1">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■城市居民消费价格指数</w:t>
      </w: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房地产估价师《经营与管理》高频考点（第三章）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1.房地产开发的一般程序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（1）四阶段：投资机会选择与决策分析阶段（最重要的阶段）；前期工作阶段；建设阶段；租售阶段。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（2）八步骤：提出投资设想；细化投资设想；可行性研究；获取土地使用权；合同谈判与协议签署；工程建设；竣工交用；物业资产管理。（P64）</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 土地储备范围</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■依法收回的国有土地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■收购的土地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■行使优先购买</w:t>
      </w:r>
      <w:proofErr w:type="gramStart"/>
      <w:r w:rsidRPr="00782B33">
        <w:rPr>
          <w:rFonts w:ascii="微软雅黑" w:eastAsia="微软雅黑" w:hAnsi="微软雅黑" w:cs="黑体" w:hint="eastAsia"/>
          <w:color w:val="000000"/>
          <w:sz w:val="21"/>
          <w:szCs w:val="21"/>
        </w:rPr>
        <w:t>权取得</w:t>
      </w:r>
      <w:proofErr w:type="gramEnd"/>
      <w:r w:rsidRPr="00782B33">
        <w:rPr>
          <w:rFonts w:ascii="微软雅黑" w:eastAsia="微软雅黑" w:hAnsi="微软雅黑" w:cs="黑体" w:hint="eastAsia"/>
          <w:color w:val="000000"/>
          <w:sz w:val="21"/>
          <w:szCs w:val="21"/>
        </w:rPr>
        <w:t>的土地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■已办理农用地转用和土地征收批准手续的土地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■其他依法取得的土地</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3.项目核准和备案</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（1）房地产开发项目，属于城建类投资项目中的“其他城建项目”，由地方政府实行核准或备案；</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（2）商品房地产开发投资项目实行备案管理；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（3）棚户改造、保障性住房、安置住房等政策性住房投资项目实行核准管理；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土地一级开发项目实施政府内部审批管理。（P71）</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4.土地储备开发成本（6项）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■征收、拆迁补偿费及有关税费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■收购、收回和置换过程中发生的有关补偿费用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■市政基础设施建设有关费用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■招标、拍卖和挂牌交易中发生的费用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■贷款利息</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■土地储备开发供应过程中发生的审计、律师、工程监理费用、不可预见费以及经政府财政和土地主管部门核准的其他支出</w:t>
      </w:r>
    </w:p>
    <w:p w:rsidR="007E6485" w:rsidRPr="00782B33" w:rsidRDefault="001B7817" w:rsidP="00C608FA">
      <w:pPr>
        <w:pStyle w:val="a6"/>
        <w:widowControl/>
        <w:numPr>
          <w:ilvl w:val="0"/>
          <w:numId w:val="1"/>
        </w:numPr>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【重点难点易混点】</w:t>
      </w:r>
    </w:p>
    <w:tbl>
      <w:tblPr>
        <w:tblW w:w="8305" w:type="dxa"/>
        <w:jc w:val="center"/>
        <w:tblCellSpacing w:w="0" w:type="dxa"/>
        <w:tblInd w:w="1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3685"/>
        <w:gridCol w:w="4620"/>
      </w:tblGrid>
      <w:tr w:rsidR="007E6485" w:rsidRPr="00782B33">
        <w:trPr>
          <w:tblCellSpacing w:w="0" w:type="dxa"/>
          <w:jc w:val="center"/>
        </w:trPr>
        <w:tc>
          <w:tcPr>
            <w:tcW w:w="3685" w:type="dxa"/>
            <w:shd w:val="clear" w:color="auto" w:fill="auto"/>
            <w:vAlign w:val="center"/>
          </w:tcPr>
          <w:p w:rsidR="007E6485" w:rsidRPr="00782B33" w:rsidRDefault="001B7817" w:rsidP="00C608FA">
            <w:pPr>
              <w:widowControl/>
              <w:spacing w:line="360" w:lineRule="auto"/>
              <w:jc w:val="center"/>
              <w:rPr>
                <w:rFonts w:ascii="微软雅黑" w:eastAsia="微软雅黑" w:hAnsi="微软雅黑" w:cs="黑体"/>
                <w:szCs w:val="21"/>
              </w:rPr>
            </w:pPr>
            <w:r w:rsidRPr="00782B33">
              <w:rPr>
                <w:rStyle w:val="a7"/>
                <w:rFonts w:ascii="微软雅黑" w:eastAsia="微软雅黑" w:hAnsi="微软雅黑" w:cs="黑体" w:hint="eastAsia"/>
                <w:kern w:val="0"/>
                <w:szCs w:val="21"/>
              </w:rPr>
              <w:t>土地储备资金来源</w:t>
            </w:r>
          </w:p>
        </w:tc>
        <w:tc>
          <w:tcPr>
            <w:tcW w:w="4620" w:type="dxa"/>
            <w:shd w:val="clear" w:color="auto" w:fill="auto"/>
            <w:vAlign w:val="center"/>
          </w:tcPr>
          <w:p w:rsidR="007E6485" w:rsidRPr="00782B33" w:rsidRDefault="001B7817" w:rsidP="00C608FA">
            <w:pPr>
              <w:widowControl/>
              <w:spacing w:line="360" w:lineRule="auto"/>
              <w:jc w:val="center"/>
              <w:rPr>
                <w:rFonts w:ascii="微软雅黑" w:eastAsia="微软雅黑" w:hAnsi="微软雅黑" w:cs="黑体"/>
                <w:szCs w:val="21"/>
              </w:rPr>
            </w:pPr>
            <w:r w:rsidRPr="00782B33">
              <w:rPr>
                <w:rStyle w:val="a7"/>
                <w:rFonts w:ascii="微软雅黑" w:eastAsia="微软雅黑" w:hAnsi="微软雅黑" w:cs="黑体" w:hint="eastAsia"/>
                <w:kern w:val="0"/>
                <w:szCs w:val="21"/>
              </w:rPr>
              <w:t>廉租住房资金来源</w:t>
            </w:r>
          </w:p>
        </w:tc>
      </w:tr>
      <w:tr w:rsidR="007E6485" w:rsidRPr="00782B33">
        <w:trPr>
          <w:tblCellSpacing w:w="0" w:type="dxa"/>
          <w:jc w:val="center"/>
        </w:trPr>
        <w:tc>
          <w:tcPr>
            <w:tcW w:w="3685"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■财政部门从土地出让收入和国有土地收益基金中安排的资金</w:t>
            </w:r>
            <w:r w:rsidRPr="00782B33">
              <w:rPr>
                <w:rFonts w:ascii="微软雅黑" w:eastAsia="微软雅黑" w:hAnsi="微软雅黑" w:cs="黑体" w:hint="eastAsia"/>
                <w:kern w:val="0"/>
                <w:szCs w:val="21"/>
              </w:rPr>
              <w:br/>
              <w:t>■省级政府代发地方政府债券筹集的土地储备资金 </w:t>
            </w:r>
            <w:r w:rsidRPr="00782B33">
              <w:rPr>
                <w:rFonts w:ascii="微软雅黑" w:eastAsia="微软雅黑" w:hAnsi="微软雅黑" w:cs="黑体" w:hint="eastAsia"/>
                <w:kern w:val="0"/>
                <w:szCs w:val="21"/>
              </w:rPr>
              <w:br/>
              <w:t>■经财政部门批准可用于土地储备的其他资金</w:t>
            </w:r>
            <w:r w:rsidRPr="00782B33">
              <w:rPr>
                <w:rFonts w:ascii="微软雅黑" w:eastAsia="微软雅黑" w:hAnsi="微软雅黑" w:cs="黑体" w:hint="eastAsia"/>
                <w:kern w:val="0"/>
                <w:szCs w:val="21"/>
              </w:rPr>
              <w:br/>
              <w:t>■以上资金所产生的利息收入</w:t>
            </w:r>
          </w:p>
        </w:tc>
        <w:tc>
          <w:tcPr>
            <w:tcW w:w="4620" w:type="dxa"/>
            <w:shd w:val="clear" w:color="auto" w:fill="auto"/>
            <w:vAlign w:val="center"/>
          </w:tcPr>
          <w:p w:rsidR="007E6485" w:rsidRPr="00782B33" w:rsidRDefault="001B7817" w:rsidP="00C608FA">
            <w:pPr>
              <w:widowControl/>
              <w:spacing w:line="360" w:lineRule="auto"/>
              <w:jc w:val="left"/>
              <w:rPr>
                <w:rFonts w:ascii="微软雅黑" w:eastAsia="微软雅黑" w:hAnsi="微软雅黑" w:cs="黑体"/>
                <w:szCs w:val="21"/>
              </w:rPr>
            </w:pPr>
            <w:r w:rsidRPr="00782B33">
              <w:rPr>
                <w:rFonts w:ascii="微软雅黑" w:eastAsia="微软雅黑" w:hAnsi="微软雅黑" w:cs="黑体" w:hint="eastAsia"/>
                <w:kern w:val="0"/>
                <w:szCs w:val="21"/>
              </w:rPr>
              <w:t>■财政预算资金</w:t>
            </w:r>
            <w:r w:rsidRPr="00782B33">
              <w:rPr>
                <w:rFonts w:ascii="微软雅黑" w:eastAsia="微软雅黑" w:hAnsi="微软雅黑" w:cs="黑体" w:hint="eastAsia"/>
                <w:kern w:val="0"/>
                <w:szCs w:val="21"/>
              </w:rPr>
              <w:br/>
              <w:t>■住房公积金增值收益－提取贷款风险准备金和管理费用之后</w:t>
            </w:r>
            <w:r w:rsidRPr="00782B33">
              <w:rPr>
                <w:rFonts w:ascii="微软雅黑" w:eastAsia="微软雅黑" w:hAnsi="微软雅黑" w:cs="黑体" w:hint="eastAsia"/>
                <w:kern w:val="0"/>
                <w:szCs w:val="21"/>
              </w:rPr>
              <w:br/>
              <w:t>■土地出让净收益－用于廉租住房保障资金的比例不得低于10%，可适当提高</w:t>
            </w:r>
            <w:r w:rsidRPr="00782B33">
              <w:rPr>
                <w:rFonts w:ascii="微软雅黑" w:eastAsia="微软雅黑" w:hAnsi="微软雅黑" w:cs="黑体" w:hint="eastAsia"/>
                <w:kern w:val="0"/>
                <w:szCs w:val="21"/>
              </w:rPr>
              <w:br/>
              <w:t>■廉租住房租金收入－实行收支两条线管理，专项用于</w:t>
            </w:r>
            <w:proofErr w:type="gramStart"/>
            <w:r w:rsidRPr="00782B33">
              <w:rPr>
                <w:rFonts w:ascii="微软雅黑" w:eastAsia="微软雅黑" w:hAnsi="微软雅黑" w:cs="黑体" w:hint="eastAsia"/>
                <w:kern w:val="0"/>
                <w:szCs w:val="21"/>
              </w:rPr>
              <w:t>廉</w:t>
            </w:r>
            <w:proofErr w:type="gramEnd"/>
            <w:r w:rsidRPr="00782B33">
              <w:rPr>
                <w:rFonts w:ascii="微软雅黑" w:eastAsia="微软雅黑" w:hAnsi="微软雅黑" w:cs="黑体" w:hint="eastAsia"/>
                <w:kern w:val="0"/>
                <w:szCs w:val="21"/>
              </w:rPr>
              <w:t>租房维护和管理</w:t>
            </w:r>
            <w:r w:rsidRPr="00782B33">
              <w:rPr>
                <w:rFonts w:ascii="微软雅黑" w:eastAsia="微软雅黑" w:hAnsi="微软雅黑" w:cs="黑体" w:hint="eastAsia"/>
                <w:kern w:val="0"/>
                <w:szCs w:val="21"/>
              </w:rPr>
              <w:br/>
              <w:t>■中央预算内投资补助和中央财政廉租住房保障专项补助（支持对中西部地区）</w:t>
            </w:r>
          </w:p>
        </w:tc>
      </w:tr>
    </w:tbl>
    <w:p w:rsidR="00B560C1" w:rsidRPr="00782B33" w:rsidRDefault="00B560C1" w:rsidP="00B560C1">
      <w:pPr>
        <w:pStyle w:val="a6"/>
        <w:widowControl/>
        <w:spacing w:before="150" w:beforeAutospacing="0" w:after="150" w:afterAutospacing="0" w:line="360" w:lineRule="auto"/>
        <w:jc w:val="center"/>
        <w:rPr>
          <w:rFonts w:ascii="微软雅黑" w:eastAsia="微软雅黑" w:hAnsi="微软雅黑" w:cstheme="minorBidi"/>
          <w:kern w:val="2"/>
        </w:rPr>
      </w:pPr>
    </w:p>
    <w:p w:rsidR="007E6485" w:rsidRPr="00782B33" w:rsidRDefault="001B7817" w:rsidP="00B560C1">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lastRenderedPageBreak/>
        <w:t>房地产估价师《经营与管理》高频考点（第四章）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1.平滑指数本期预测值=平滑指数×前期实际销售量+（1-平滑指数）×前期预测值</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（1）平滑指数α是新旧数据在平滑过程中分配比率；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（2）平滑指数α愈小，新数据所占比重越小，预测值趋向平滑；</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（3）平滑指数α愈大，新数据所占比重越大。（P116）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2.市场的几个概念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【市场最低量】不需任何刺激需求的费用就有基本的销售量，可以理解为不用作广告宣传就能销售出去的量。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【市场潜量】市场营销费用超过一定水平后，就不会增加需求了，也即市场需求的上限（极限），可以理解为再怎么作广告也不能再提高的销售量，相当于营销销售的上限。</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【市场营销敏感性】市场最低量与市场潜量间的距离，距离越大越敏感。</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3.专家意见法（德尔菲法）</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■专家小组的组成经销商、分销商市场营销顾问或其它权威人士</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■人数一般在20人左右</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■程序</w:t>
      </w:r>
    </w:p>
    <w:p w:rsidR="007E6485" w:rsidRPr="00782B33" w:rsidRDefault="001B7817" w:rsidP="00C608FA">
      <w:pPr>
        <w:pStyle w:val="a6"/>
        <w:widowControl/>
        <w:numPr>
          <w:ilvl w:val="0"/>
          <w:numId w:val="2"/>
        </w:numPr>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调查员提出所要预测的问题及背景材料寄给专家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w:t>
      </w:r>
      <w:r w:rsidR="00B560C1" w:rsidRPr="00782B33">
        <w:rPr>
          <w:rFonts w:ascii="微软雅黑" w:eastAsia="微软雅黑" w:hAnsi="微软雅黑" w:cs="黑体" w:hint="eastAsia"/>
          <w:color w:val="000000"/>
          <w:sz w:val="21"/>
          <w:szCs w:val="21"/>
        </w:rPr>
        <w:t xml:space="preserve"> </w:t>
      </w:r>
      <w:r w:rsidRPr="00782B33">
        <w:rPr>
          <w:rFonts w:ascii="微软雅黑" w:eastAsia="微软雅黑" w:hAnsi="微软雅黑" w:cs="黑体" w:hint="eastAsia"/>
          <w:color w:val="000000"/>
          <w:sz w:val="21"/>
          <w:szCs w:val="21"/>
        </w:rPr>
        <w:t>（2）专家提出预测意见，以书面形式返回调查人员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（3）调查人员将专家第一次预测值列成表，再次发给专家，以便他比较自己意见与他人的不同再提出第一次修改意见</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（4）将所有专家的修改意见置于一个修正表内，发给专家做第二次修改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（5）最后综合各专家的意见可得比较可靠的预测值</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■优点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（1）能发挥各专家的作用，集思广益，准确度高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（2）采取单线联系，有利于避免偏见</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（3）有利于各专家根据别人的意见修正自己的意见4.房地产市场分析——需求分析（P139）</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（1）需求影响因素分析；</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（2）需求预测；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w:t>
      </w:r>
      <w:proofErr w:type="gramStart"/>
      <w:r w:rsidRPr="00782B33">
        <w:rPr>
          <w:rFonts w:ascii="微软雅黑" w:eastAsia="微软雅黑" w:hAnsi="微软雅黑" w:cs="黑体" w:hint="eastAsia"/>
          <w:color w:val="000000"/>
          <w:sz w:val="21"/>
          <w:szCs w:val="21"/>
        </w:rPr>
        <w:t>吸纳率</w:t>
      </w:r>
      <w:proofErr w:type="gramEnd"/>
      <w:r w:rsidRPr="00782B33">
        <w:rPr>
          <w:rFonts w:ascii="微软雅黑" w:eastAsia="微软雅黑" w:hAnsi="微软雅黑" w:cs="黑体" w:hint="eastAsia"/>
          <w:color w:val="000000"/>
          <w:sz w:val="21"/>
          <w:szCs w:val="21"/>
        </w:rPr>
        <w:t>分析；</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（4）市场购买者的产品功能需求。</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项目吸纳量＝市场供求缺口×拟开发项目市场占有率。（P141）</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lastRenderedPageBreak/>
        <w:t>房地产估价师《经营与管理》高频考点（第五章）</w:t>
      </w:r>
    </w:p>
    <w:p w:rsidR="007E6485" w:rsidRPr="00782B33" w:rsidRDefault="001B7817" w:rsidP="00C608FA">
      <w:pPr>
        <w:pStyle w:val="a6"/>
        <w:widowControl/>
        <w:numPr>
          <w:ilvl w:val="0"/>
          <w:numId w:val="3"/>
        </w:numPr>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期末惯例法</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现金流量一般在计息周期内随意发生，不一定正好发生在计算周期的期初或期末，但为了简化计算，都要假设将本计息周期内发生的现金流量的代数和都发生在期末。（P146）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2.资金具有时间价值的原因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■资金增值－货币有在一定时间内通过某些经济活动产生增值的可能</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■价值补偿－时间价值体现为放弃即期消费的损失所应得到的补偿</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3.资金时间价值大小的决定因素（三因素）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■投资利润率－单位投资所能取得的利润</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■通货膨胀率－即对因货币贬值造成的损失所应得到的补偿</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■风险因素－对因风险可能带来的损失所应获得的补偿</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4.单利和复利计算（P154）</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单利：F=P×（1+n×</w:t>
      </w:r>
      <w:proofErr w:type="spellStart"/>
      <w:r w:rsidRPr="00782B33">
        <w:rPr>
          <w:rFonts w:ascii="微软雅黑" w:eastAsia="微软雅黑" w:hAnsi="微软雅黑" w:cs="黑体" w:hint="eastAsia"/>
          <w:color w:val="000000"/>
          <w:sz w:val="21"/>
          <w:szCs w:val="21"/>
        </w:rPr>
        <w:t>i</w:t>
      </w:r>
      <w:proofErr w:type="spellEnd"/>
      <w:r w:rsidRPr="00782B33">
        <w:rPr>
          <w:rFonts w:ascii="微软雅黑" w:eastAsia="微软雅黑" w:hAnsi="微软雅黑" w:cs="黑体" w:hint="eastAsia"/>
          <w:color w:val="000000"/>
          <w:sz w:val="21"/>
          <w:szCs w:val="21"/>
        </w:rPr>
        <w:t>）；复利：F=P×（1+i）n</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5.有效利率（资金在计息中所发生的实际利率）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包括计息周期有效利率</w:t>
      </w:r>
      <w:proofErr w:type="spellStart"/>
      <w:r w:rsidRPr="00782B33">
        <w:rPr>
          <w:rFonts w:ascii="微软雅黑" w:eastAsia="微软雅黑" w:hAnsi="微软雅黑" w:cs="黑体" w:hint="eastAsia"/>
          <w:color w:val="000000"/>
          <w:sz w:val="21"/>
          <w:szCs w:val="21"/>
        </w:rPr>
        <w:t>i</w:t>
      </w:r>
      <w:proofErr w:type="spellEnd"/>
      <w:r w:rsidRPr="00782B33">
        <w:rPr>
          <w:rFonts w:ascii="微软雅黑" w:eastAsia="微软雅黑" w:hAnsi="微软雅黑" w:cs="黑体" w:hint="eastAsia"/>
          <w:color w:val="000000"/>
          <w:sz w:val="21"/>
          <w:szCs w:val="21"/>
        </w:rPr>
        <w:t>=r/m和利率周期的有效利率</w:t>
      </w:r>
      <w:proofErr w:type="spellStart"/>
      <w:r w:rsidRPr="00782B33">
        <w:rPr>
          <w:rFonts w:ascii="微软雅黑" w:eastAsia="微软雅黑" w:hAnsi="微软雅黑" w:cs="黑体" w:hint="eastAsia"/>
          <w:color w:val="000000"/>
          <w:sz w:val="21"/>
          <w:szCs w:val="21"/>
        </w:rPr>
        <w:t>i</w:t>
      </w:r>
      <w:proofErr w:type="spellEnd"/>
      <w:r w:rsidRPr="00782B33">
        <w:rPr>
          <w:rFonts w:ascii="微软雅黑" w:eastAsia="微软雅黑" w:hAnsi="微软雅黑" w:cs="黑体" w:hint="eastAsia"/>
          <w:color w:val="000000"/>
          <w:sz w:val="21"/>
          <w:szCs w:val="21"/>
        </w:rPr>
        <w:t>=（1+r/m）m-1.在名义利率一定时，每年计息期数m越多，</w:t>
      </w:r>
      <w:proofErr w:type="spellStart"/>
      <w:r w:rsidRPr="00782B33">
        <w:rPr>
          <w:rFonts w:ascii="微软雅黑" w:eastAsia="微软雅黑" w:hAnsi="微软雅黑" w:cs="黑体" w:hint="eastAsia"/>
          <w:color w:val="000000"/>
          <w:sz w:val="21"/>
          <w:szCs w:val="21"/>
        </w:rPr>
        <w:t>i</w:t>
      </w:r>
      <w:proofErr w:type="spellEnd"/>
      <w:r w:rsidRPr="00782B33">
        <w:rPr>
          <w:rFonts w:ascii="微软雅黑" w:eastAsia="微软雅黑" w:hAnsi="微软雅黑" w:cs="黑体" w:hint="eastAsia"/>
          <w:color w:val="000000"/>
          <w:sz w:val="21"/>
          <w:szCs w:val="21"/>
        </w:rPr>
        <w:t>与r相差越大。（P156）</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房地产估价师《经营与管理》高频考点（第六章）</w:t>
      </w:r>
    </w:p>
    <w:p w:rsidR="007E6485" w:rsidRPr="00782B33" w:rsidRDefault="001B7817" w:rsidP="00C608FA">
      <w:pPr>
        <w:pStyle w:val="a6"/>
        <w:widowControl/>
        <w:numPr>
          <w:ilvl w:val="0"/>
          <w:numId w:val="4"/>
        </w:numPr>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房地产投资项目中投资与成本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开发投资——出售：投资为开发建设投资，成本为开发产品成本。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开发投资——出租：投资为开发建设投资，成本为营业成本＋运营费用。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置业投资——出售：投资为购买投资、装修及更新改造投资，成本为开发产品成本。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置业投资——出租：投资为购买投资、装修及更新改造投资、经营资金，成本为营业成本＋运营费用。（P170）</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2.3开发产品成本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■当房地产开发项目建成时，将开发建设投资转为开发产品成本。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■同一项目有不同产品的，可以通过开发建设投资的合理分摊，分别估算每种产品的产品成本。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3.利润（P172）</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毛利润＝营业收入－营业成本－增值税和税金附加－土地增值税。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毛利润率＝毛利润/营业收入。</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营业收入＝销售收入＋出租收入＋自营收入。</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销售收入＝土地转让收入＋商品房销售收入＋配套设施销售收入。</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出租收入＝房屋出租租金收入＋土地出租租金收入。</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营业利润（开发投资）＝毛利润－期间费用；</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营业利润（出租经营）＝毛利润－运营费用；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期间费用＝销售费用＋管理费用＋财务费用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运营费用＝期间费用＋运营期间税费＋物业服务管理费＋大修基金</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利润总额＝营业利润＋营业外收支净额</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营业外收支净额＝投资收益＋补贴收入＋营业外收入－营业外支出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净利润＝利润总额－所得税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净利润率＝净利润/营业收入（%）</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可分配利润＝税后利润－（法定盈余公积金＋法定公益金）＋未分配利润</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4.增值税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■增值税是对销售货物或者提供加工、修理修配劳务以及进口货物的单位和个人就其实现的增值额征收的一个税种</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■纳税人：在我国境内销售服务、无形资产或者不动产的单位和个人</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■税率：17%、11%、6%三项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2016年5月1日，我国正式实行营业税改征增值税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 对投资分析工作的影响（两种方法考虑通货膨胀）</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允许未来年份经营收入以及运营成本随着通货膨胀分别有所增加。</w:t>
      </w:r>
    </w:p>
    <w:p w:rsidR="007E6485" w:rsidRPr="00782B33" w:rsidRDefault="001B7817" w:rsidP="00B560C1">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如果在收益现金流估算过程中没有考虑通货膨胀的影响，则可以调低折现率。</w:t>
      </w: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房地产估价师《经营与管理》高频考点（第七章）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1.房地产置业投资项目的主要不确定性因素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■购买价格</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■权益投资比率（资本金占初始投资的比例）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■空置率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■运营费用【重点难点】权益投资比率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■权益投资比率是指投资者所投入的权益资本或资本金占初始投资总额的比例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■权益投资比例低，说明资本金少，借款资金多，使用了高的财务杠杆，投资者的风险和报酬相应增加，权益投资收益率高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■当长期抵押贷款利率较低，资金可获得性较好时，风险承受能力较强的投资者喜欢选用较低的权益投资比率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■金融机构出于控制信贷风险的考虑，通常要求投资者权益投资比率不得低于某</w:t>
      </w:r>
      <w:proofErr w:type="gramStart"/>
      <w:r w:rsidRPr="00782B33">
        <w:rPr>
          <w:rFonts w:ascii="微软雅黑" w:eastAsia="微软雅黑" w:hAnsi="微软雅黑" w:cs="黑体" w:hint="eastAsia"/>
          <w:color w:val="000000"/>
          <w:sz w:val="21"/>
          <w:szCs w:val="21"/>
        </w:rPr>
        <w:t>一要求</w:t>
      </w:r>
      <w:proofErr w:type="gramEnd"/>
      <w:r w:rsidRPr="00782B33">
        <w:rPr>
          <w:rFonts w:ascii="微软雅黑" w:eastAsia="微软雅黑" w:hAnsi="微软雅黑" w:cs="黑体" w:hint="eastAsia"/>
          <w:color w:val="000000"/>
          <w:sz w:val="21"/>
          <w:szCs w:val="21"/>
        </w:rPr>
        <w:t>的比率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2.房地产开发项目的主要不确定性因素（7大因素）（P212～216）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（1）土地费用：比重大，</w:t>
      </w:r>
      <w:proofErr w:type="gramStart"/>
      <w:r w:rsidRPr="00782B33">
        <w:rPr>
          <w:rFonts w:ascii="微软雅黑" w:eastAsia="微软雅黑" w:hAnsi="微软雅黑" w:cs="黑体" w:hint="eastAsia"/>
          <w:color w:val="000000"/>
          <w:sz w:val="21"/>
          <w:szCs w:val="21"/>
        </w:rPr>
        <w:t>招拍挂</w:t>
      </w:r>
      <w:proofErr w:type="gramEnd"/>
      <w:r w:rsidRPr="00782B33">
        <w:rPr>
          <w:rFonts w:ascii="微软雅黑" w:eastAsia="微软雅黑" w:hAnsi="微软雅黑" w:cs="黑体" w:hint="eastAsia"/>
          <w:color w:val="000000"/>
          <w:sz w:val="21"/>
          <w:szCs w:val="21"/>
        </w:rPr>
        <w:t>的出让方式使土地价格难以确定；</w:t>
      </w:r>
    </w:p>
    <w:p w:rsidR="007E6485" w:rsidRPr="00782B33" w:rsidRDefault="001B7817" w:rsidP="00B560C1">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（2）建筑安装工程费：估算价与报价有差异，开工后建材和人工费会发生变化；</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（3）租售价格：物业的供求关系变化，各种因素会发生变化；这种比较往往未考虑租金和售价在开发期间的增加或减少，而仅以“今天”的租金和售价水平估算。</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（4）开发期与租售期：准备期、建造期、租售期的不确定；</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（5）容积率及有关设计参数：容积率不确定，可供出租出售面积不确定（公摊）；</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（6）资本化率：评估时所选取的资本化率与将来实际投资收益率之间会出现误差；</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（7）贷款利率：影响财务杠杆的有效性及融资成本；</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3.【重点难点】空置率</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空置率是准备出租但还没有出租出去的建筑面积占全部可出租建筑面积的比例。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空置率的变化与宏观社会经济环境、市场供求关系、业主经营管理水平、租户支付租金的能力有关。</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【重点难点】运营费用通过签署长期物业协议可以减少运营费用的变动，但无法排除通货膨胀的影响，也无法减少大修理费用的变化。</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4.敏感性分析的“三项预测值”法（是多因素敏感性分析的一种）</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对房地产开发项目中所涉及的变动因素，分别给出三个预测值，即最乐观预测值、最可能预测值和最悲观预测值，根据各变动因素三个预测值的相互作用来分析判断开发利润受影响的情况。是多因素敏感性分析的一种。</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5.敏感性分析的概念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敏感性分析的概念是从众多的不确定性因素中找出对投资项目经济效益指标有重要影响的敏感性因素，并分析测算其对项目经济效益指标的影响程度和敏感性程度，进而判断项目承受风险能力的一种不确定性分析方法（可以用人的敏感性来理解：有些人对钱敏感，有些人对名敏感）。（找出项目的死穴在哪里）</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房地产估价师《经营与管理》高频考点（第八章）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1.可行性研究的内容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概况、开发项目用地的现状调查、市场分析和建设规模的确定、规划设计方案的选择、资源供给条件分析、环境影响评价、项目开发组织机构和管理费用的研究、开发建设计划的编制、项目经济及社会效益分析、结论及建议。（P253～P254）</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2.可行性研究的工作阶段（四个阶段）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■投资机会研究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■初步可行性研究（预可行性研究）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■详细可行性研究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■项目评估与决策</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3.土地费用－划拨或征收土地（分集体和国有两类）</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（1）集体土地征收费用：土地补偿费、安置补助费、地上附着物和青苗补偿费、安排被征地农民的社会保障费用、征地管理费、耕地占用税、耕地开垦费、新菜地开发建设基金。</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（2）城市国有土地上房屋征收补偿费用：被征收房屋价值补偿、因征收房屋造成的搬迁、临时安置的补偿、因征收房屋造成的停产停业损失的补偿。（P259）</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4.初步可行性研究（预可行性研究）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■解决的问题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·做出是否投资的决定</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·是否有进行详细可行性研究的必要</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·有哪些关键问题需要进行辅助研究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■主要审查的内容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·项目所在地区的社会经济情况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·项目地址及其周围环境</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·市场供应与需求</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·项目规划设计方案</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·项目进度</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·项目销售收入与投资估算</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·项目财务分析</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房地产估价师《经营与管理》高频考点（第九章）</w:t>
      </w:r>
    </w:p>
    <w:p w:rsidR="007E6485" w:rsidRPr="00782B33" w:rsidRDefault="001B7817" w:rsidP="00C608FA">
      <w:pPr>
        <w:pStyle w:val="a6"/>
        <w:widowControl/>
        <w:numPr>
          <w:ilvl w:val="0"/>
          <w:numId w:val="5"/>
        </w:numPr>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房地产权益融资的特点（P285～286）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（1）是所有者权益而非债务。</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（2）资金提供方与投资者共同承担风险，报酬是项目投资所形成的可分配利润，最典型的是股票。</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（3）房地产权益资本传统上主要在私人市场融通，但随着证券市场的发展，房地产企业从公开资本市场融资的比例正在逐渐提高。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（4）从来源看，房地产权益资本主要来源于机构投资者。</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（5）由于权益投资风险较高，商业银行和储蓄机构等存款性金融机构极少或根本不参与权益融资。</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2.政府对投资项目的管理制度（双轨制）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■《政府核准的投资项目目录》以内的项目，国家实行核准制度</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■《政府核准的投资项目目录》以外的项目，国家实行备案制度</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3.中国房地产权益融资需求（P286）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（1）目前我国房地产企业平均规模增长速度很快，但权益资本普遍偏少，资产负债率高。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（2）房地产企业主要从事开发业务，较少进行持有物业投资。</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（3）当权益资本规模过小，资产负债率偏高，过分依赖预售收入或借款，不利于防范系统性金融风险。</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4.构造评价方案</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■概念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·就是在项目策划的基础上，构造出可供评价比较的具体开发经营方案</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■主要内容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·项目是否分期进行以及如何分期</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·项目拟建设的物业类型及不同物业类型的比例关系</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·建筑面积的规模和物业档次</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·合作方式与合作条件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·拟投入资本金的数量和在总投资中的比例</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·租售与自营的选择及各自在总建筑面积中的比例等</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5.开发期间税费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■固定资产投资方向调节税（暂停征收）</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■市政支管线分摊费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■供电贴费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■用电权费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■分散建设市政公用设施建设费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■绿化建设费</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■电话初装费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■建材发展基金</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■人防工程费</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注意不包括土地税收与营业类税收</w:t>
      </w:r>
    </w:p>
    <w:p w:rsidR="007E6485" w:rsidRPr="00782B33" w:rsidRDefault="007E6485" w:rsidP="00C608FA">
      <w:pPr>
        <w:spacing w:line="360" w:lineRule="auto"/>
        <w:rPr>
          <w:rFonts w:ascii="微软雅黑" w:eastAsia="微软雅黑" w:hAnsi="微软雅黑" w:cs="黑体"/>
          <w:szCs w:val="21"/>
        </w:rPr>
      </w:pPr>
    </w:p>
    <w:p w:rsidR="007E6485" w:rsidRPr="00782B33" w:rsidRDefault="001B7817" w:rsidP="00C608FA">
      <w:pPr>
        <w:pStyle w:val="a6"/>
        <w:widowControl/>
        <w:spacing w:before="150" w:beforeAutospacing="0" w:after="150" w:afterAutospacing="0" w:line="360" w:lineRule="auto"/>
        <w:jc w:val="center"/>
        <w:rPr>
          <w:rFonts w:ascii="微软雅黑" w:eastAsia="微软雅黑" w:hAnsi="微软雅黑" w:cs="黑体"/>
          <w:color w:val="000000"/>
          <w:sz w:val="21"/>
          <w:szCs w:val="21"/>
        </w:rPr>
      </w:pPr>
      <w:r w:rsidRPr="00782B33">
        <w:rPr>
          <w:rStyle w:val="a7"/>
          <w:rFonts w:ascii="微软雅黑" w:eastAsia="微软雅黑" w:hAnsi="微软雅黑" w:cs="黑体" w:hint="eastAsia"/>
          <w:color w:val="000000"/>
          <w:sz w:val="21"/>
          <w:szCs w:val="21"/>
        </w:rPr>
        <w:t>房地产估价师《经营与管理》高频考点（第十章）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1.【重点难点】过高或过低的租金都可能导致业主损失</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■租金高，空置率高；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■租金低，利润低。</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【重点难点】写字楼租金水平的影响因素</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■租期长短和承租面积大小</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■租户的资信状况</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■为租户提供服务的水平</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■附属设施的收费水平</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■是否带家具</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2.物业管理和设施管理以运行管理为主，资产管理和投资组合管理以策略性管理为主。（P336）</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3.计算可出租或可使用面积（P350）</w:t>
      </w:r>
    </w:p>
    <w:p w:rsidR="007E6485" w:rsidRPr="00782B33" w:rsidRDefault="001B7817" w:rsidP="00B560C1">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（1）建筑面积：按国家《建筑面积计算规则》计算；</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（2）可出租面积：出租单元内建筑面积加上分摊公用建筑面积；</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（3）出租单元内建筑面积：包括单元内使用面积和外墙、单元间分隔墙及单元与公用建筑空间之间的分隔墙水平投影面积的一半</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lastRenderedPageBreak/>
        <w:t xml:space="preserve">　　4.出租单元的面积规划和室内装修</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■标准化的装修，一般由业主提供</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■其他装修视市场条件和入住率水平确定（四种选择）</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·由业主支付；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·由租户支付；</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·业主和租户分担；</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·业主支付后由租户在租约期限内按月等额偿还本息（作为租金的一部分）。</w:t>
      </w:r>
    </w:p>
    <w:p w:rsidR="007E6485" w:rsidRPr="00782B33" w:rsidRDefault="001B7817" w:rsidP="00C608FA">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5.位置</w:t>
      </w:r>
    </w:p>
    <w:p w:rsidR="007E6485" w:rsidRPr="00782B33" w:rsidRDefault="001B7817" w:rsidP="00B560C1">
      <w:pPr>
        <w:pStyle w:val="a6"/>
        <w:widowControl/>
        <w:spacing w:before="150" w:beforeAutospacing="0" w:after="150" w:afterAutospacing="0" w:line="360" w:lineRule="auto"/>
        <w:rPr>
          <w:rFonts w:ascii="微软雅黑" w:eastAsia="微软雅黑" w:hAnsi="微软雅黑" w:cs="黑体"/>
          <w:color w:val="000000"/>
          <w:sz w:val="21"/>
          <w:szCs w:val="21"/>
        </w:rPr>
      </w:pPr>
      <w:r w:rsidRPr="00782B33">
        <w:rPr>
          <w:rFonts w:ascii="微软雅黑" w:eastAsia="微软雅黑" w:hAnsi="微软雅黑" w:cs="黑体" w:hint="eastAsia"/>
          <w:color w:val="000000"/>
          <w:sz w:val="21"/>
          <w:szCs w:val="21"/>
        </w:rPr>
        <w:t xml:space="preserve">　　位置的优劣取决于消费者到达该地点是否方便，即物业的易接近性或交通的通达程度，而不一定是</w:t>
      </w:r>
      <w:proofErr w:type="gramStart"/>
      <w:r w:rsidRPr="00782B33">
        <w:rPr>
          <w:rFonts w:ascii="微软雅黑" w:eastAsia="微软雅黑" w:hAnsi="微软雅黑" w:cs="黑体" w:hint="eastAsia"/>
          <w:color w:val="000000"/>
          <w:sz w:val="21"/>
          <w:szCs w:val="21"/>
        </w:rPr>
        <w:t>离交通</w:t>
      </w:r>
      <w:proofErr w:type="gramEnd"/>
      <w:r w:rsidRPr="00782B33">
        <w:rPr>
          <w:rFonts w:ascii="微软雅黑" w:eastAsia="微软雅黑" w:hAnsi="微软雅黑" w:cs="黑体" w:hint="eastAsia"/>
          <w:color w:val="000000"/>
          <w:sz w:val="21"/>
          <w:szCs w:val="21"/>
        </w:rPr>
        <w:t>主干道的距离。</w:t>
      </w:r>
    </w:p>
    <w:sectPr w:rsidR="007E6485" w:rsidRPr="00782B33" w:rsidSect="007E6485">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6E1" w:rsidRDefault="00D916E1" w:rsidP="007E6485">
      <w:r>
        <w:separator/>
      </w:r>
    </w:p>
  </w:endnote>
  <w:endnote w:type="continuationSeparator" w:id="0">
    <w:p w:rsidR="00D916E1" w:rsidRDefault="00D916E1" w:rsidP="007E64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7E6485" w:rsidRDefault="001B7817">
            <w:pPr>
              <w:pStyle w:val="a4"/>
              <w:jc w:val="center"/>
              <w:rPr>
                <w:b/>
                <w:sz w:val="24"/>
                <w:szCs w:val="24"/>
              </w:rPr>
            </w:pPr>
            <w:r>
              <w:rPr>
                <w:lang w:val="zh-CN"/>
              </w:rPr>
              <w:t xml:space="preserve"> </w:t>
            </w:r>
            <w:r w:rsidR="007163F1">
              <w:rPr>
                <w:b/>
                <w:sz w:val="24"/>
                <w:szCs w:val="24"/>
              </w:rPr>
              <w:fldChar w:fldCharType="begin"/>
            </w:r>
            <w:r>
              <w:rPr>
                <w:b/>
              </w:rPr>
              <w:instrText>PAGE</w:instrText>
            </w:r>
            <w:r w:rsidR="007163F1">
              <w:rPr>
                <w:b/>
                <w:sz w:val="24"/>
                <w:szCs w:val="24"/>
              </w:rPr>
              <w:fldChar w:fldCharType="separate"/>
            </w:r>
            <w:r w:rsidR="00B61C64">
              <w:rPr>
                <w:b/>
                <w:noProof/>
              </w:rPr>
              <w:t>22</w:t>
            </w:r>
            <w:r w:rsidR="007163F1">
              <w:rPr>
                <w:b/>
                <w:sz w:val="24"/>
                <w:szCs w:val="24"/>
              </w:rPr>
              <w:fldChar w:fldCharType="end"/>
            </w:r>
            <w:r>
              <w:rPr>
                <w:lang w:val="zh-CN"/>
              </w:rPr>
              <w:t xml:space="preserve"> / </w:t>
            </w:r>
            <w:r w:rsidR="007163F1">
              <w:rPr>
                <w:b/>
                <w:sz w:val="24"/>
                <w:szCs w:val="24"/>
              </w:rPr>
              <w:fldChar w:fldCharType="begin"/>
            </w:r>
            <w:r>
              <w:rPr>
                <w:b/>
              </w:rPr>
              <w:instrText>NUMPAGES</w:instrText>
            </w:r>
            <w:r w:rsidR="007163F1">
              <w:rPr>
                <w:b/>
                <w:sz w:val="24"/>
                <w:szCs w:val="24"/>
              </w:rPr>
              <w:fldChar w:fldCharType="separate"/>
            </w:r>
            <w:r w:rsidR="00B61C64">
              <w:rPr>
                <w:b/>
                <w:noProof/>
              </w:rPr>
              <w:t>22</w:t>
            </w:r>
            <w:r w:rsidR="007163F1">
              <w:rPr>
                <w:b/>
                <w:sz w:val="24"/>
                <w:szCs w:val="24"/>
              </w:rPr>
              <w:fldChar w:fldCharType="end"/>
            </w:r>
          </w:p>
          <w:p w:rsidR="007E6485" w:rsidRDefault="007E6485">
            <w:pPr>
              <w:pStyle w:val="a4"/>
              <w:jc w:val="center"/>
              <w:rPr>
                <w:b/>
                <w:sz w:val="24"/>
                <w:szCs w:val="24"/>
              </w:rPr>
            </w:pPr>
          </w:p>
          <w:p w:rsidR="007E6485" w:rsidRDefault="001B7817">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7E6485" w:rsidRDefault="001B7817">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7E6485" w:rsidRDefault="007E648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6E1" w:rsidRDefault="00D916E1" w:rsidP="007E6485">
      <w:r>
        <w:separator/>
      </w:r>
    </w:p>
  </w:footnote>
  <w:footnote w:type="continuationSeparator" w:id="0">
    <w:p w:rsidR="00D916E1" w:rsidRDefault="00D916E1" w:rsidP="007E64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85" w:rsidRDefault="001B7817">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85" w:rsidRDefault="001B7817">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85" w:rsidRDefault="001B7817">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659021"/>
    <w:multiLevelType w:val="singleLevel"/>
    <w:tmpl w:val="B9659021"/>
    <w:lvl w:ilvl="0">
      <w:start w:val="1"/>
      <w:numFmt w:val="decimal"/>
      <w:lvlText w:val="%1."/>
      <w:lvlJc w:val="left"/>
      <w:pPr>
        <w:tabs>
          <w:tab w:val="left" w:pos="312"/>
        </w:tabs>
        <w:ind w:left="480" w:firstLine="0"/>
      </w:pPr>
    </w:lvl>
  </w:abstractNum>
  <w:abstractNum w:abstractNumId="1">
    <w:nsid w:val="D9F06603"/>
    <w:multiLevelType w:val="singleLevel"/>
    <w:tmpl w:val="D9F06603"/>
    <w:lvl w:ilvl="0">
      <w:start w:val="1"/>
      <w:numFmt w:val="decimal"/>
      <w:lvlText w:val="%1."/>
      <w:lvlJc w:val="left"/>
      <w:pPr>
        <w:tabs>
          <w:tab w:val="left" w:pos="312"/>
        </w:tabs>
        <w:ind w:left="480" w:firstLine="0"/>
      </w:pPr>
    </w:lvl>
  </w:abstractNum>
  <w:abstractNum w:abstractNumId="2">
    <w:nsid w:val="F5479F27"/>
    <w:multiLevelType w:val="singleLevel"/>
    <w:tmpl w:val="F5479F27"/>
    <w:lvl w:ilvl="0">
      <w:start w:val="1"/>
      <w:numFmt w:val="decimal"/>
      <w:lvlText w:val="%1."/>
      <w:lvlJc w:val="left"/>
      <w:pPr>
        <w:tabs>
          <w:tab w:val="left" w:pos="312"/>
        </w:tabs>
        <w:ind w:left="480" w:firstLine="0"/>
      </w:pPr>
    </w:lvl>
  </w:abstractNum>
  <w:abstractNum w:abstractNumId="3">
    <w:nsid w:val="3916C7AE"/>
    <w:multiLevelType w:val="singleLevel"/>
    <w:tmpl w:val="3916C7AE"/>
    <w:lvl w:ilvl="0">
      <w:start w:val="5"/>
      <w:numFmt w:val="decimal"/>
      <w:lvlText w:val="%1."/>
      <w:lvlJc w:val="left"/>
      <w:pPr>
        <w:tabs>
          <w:tab w:val="left" w:pos="312"/>
        </w:tabs>
        <w:ind w:left="480" w:firstLine="0"/>
      </w:pPr>
    </w:lvl>
  </w:abstractNum>
  <w:abstractNum w:abstractNumId="4">
    <w:nsid w:val="40921554"/>
    <w:multiLevelType w:val="singleLevel"/>
    <w:tmpl w:val="40921554"/>
    <w:lvl w:ilvl="0">
      <w:start w:val="1"/>
      <w:numFmt w:val="decimal"/>
      <w:suff w:val="nothing"/>
      <w:lvlText w:val="（%1）"/>
      <w:lvlJc w:val="left"/>
      <w:pPr>
        <w:ind w:left="480" w:firstLine="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1B7817"/>
    <w:rsid w:val="007063FD"/>
    <w:rsid w:val="007163F1"/>
    <w:rsid w:val="00771685"/>
    <w:rsid w:val="00782B33"/>
    <w:rsid w:val="007E6485"/>
    <w:rsid w:val="008555E3"/>
    <w:rsid w:val="008C32BD"/>
    <w:rsid w:val="00A95D12"/>
    <w:rsid w:val="00B560C1"/>
    <w:rsid w:val="00B61C64"/>
    <w:rsid w:val="00B7270D"/>
    <w:rsid w:val="00B91F59"/>
    <w:rsid w:val="00BF37DF"/>
    <w:rsid w:val="00C608FA"/>
    <w:rsid w:val="00CD1EA8"/>
    <w:rsid w:val="00D916E1"/>
    <w:rsid w:val="00E65421"/>
    <w:rsid w:val="00EA6440"/>
    <w:rsid w:val="00FA1F8A"/>
    <w:rsid w:val="00FC493E"/>
    <w:rsid w:val="01817C70"/>
    <w:rsid w:val="05B214BD"/>
    <w:rsid w:val="05B82BE5"/>
    <w:rsid w:val="08A159D8"/>
    <w:rsid w:val="0D2F1F36"/>
    <w:rsid w:val="0F024DAF"/>
    <w:rsid w:val="10334FFF"/>
    <w:rsid w:val="137A6CAA"/>
    <w:rsid w:val="175A016D"/>
    <w:rsid w:val="1B846DA3"/>
    <w:rsid w:val="27FB2614"/>
    <w:rsid w:val="2CE00D48"/>
    <w:rsid w:val="2F582D33"/>
    <w:rsid w:val="3394577A"/>
    <w:rsid w:val="3D8F029D"/>
    <w:rsid w:val="3EEB540E"/>
    <w:rsid w:val="40EF4287"/>
    <w:rsid w:val="412E2F80"/>
    <w:rsid w:val="45110A7A"/>
    <w:rsid w:val="46DF5A91"/>
    <w:rsid w:val="472A46BC"/>
    <w:rsid w:val="483464AB"/>
    <w:rsid w:val="491A5F3C"/>
    <w:rsid w:val="4F1B6354"/>
    <w:rsid w:val="4FA8738A"/>
    <w:rsid w:val="509222C0"/>
    <w:rsid w:val="50F16439"/>
    <w:rsid w:val="51813C26"/>
    <w:rsid w:val="541F66CD"/>
    <w:rsid w:val="54FE03FB"/>
    <w:rsid w:val="55032C6F"/>
    <w:rsid w:val="5A8C17E0"/>
    <w:rsid w:val="5C59669C"/>
    <w:rsid w:val="60374BE2"/>
    <w:rsid w:val="63696CA7"/>
    <w:rsid w:val="665D1DD6"/>
    <w:rsid w:val="6EDF3D9D"/>
    <w:rsid w:val="6FAA3F7C"/>
    <w:rsid w:val="70C93E50"/>
    <w:rsid w:val="75906A09"/>
    <w:rsid w:val="760B7AFD"/>
    <w:rsid w:val="783B2023"/>
    <w:rsid w:val="7CEA5DB0"/>
    <w:rsid w:val="7D6549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48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6485"/>
    <w:rPr>
      <w:sz w:val="18"/>
      <w:szCs w:val="18"/>
    </w:rPr>
  </w:style>
  <w:style w:type="paragraph" w:styleId="a4">
    <w:name w:val="footer"/>
    <w:basedOn w:val="a"/>
    <w:link w:val="Char0"/>
    <w:uiPriority w:val="99"/>
    <w:unhideWhenUsed/>
    <w:rsid w:val="007E6485"/>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7E6485"/>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7E6485"/>
    <w:pPr>
      <w:spacing w:beforeAutospacing="1" w:afterAutospacing="1"/>
      <w:jc w:val="left"/>
    </w:pPr>
    <w:rPr>
      <w:rFonts w:cs="Times New Roman"/>
      <w:kern w:val="0"/>
      <w:sz w:val="24"/>
    </w:rPr>
  </w:style>
  <w:style w:type="character" w:styleId="a7">
    <w:name w:val="Strong"/>
    <w:basedOn w:val="a0"/>
    <w:qFormat/>
    <w:rsid w:val="007E6485"/>
    <w:rPr>
      <w:b/>
    </w:rPr>
  </w:style>
  <w:style w:type="character" w:styleId="a8">
    <w:name w:val="Hyperlink"/>
    <w:basedOn w:val="a0"/>
    <w:uiPriority w:val="99"/>
    <w:semiHidden/>
    <w:unhideWhenUsed/>
    <w:rsid w:val="007E6485"/>
    <w:rPr>
      <w:color w:val="0000FF"/>
      <w:u w:val="single"/>
    </w:rPr>
  </w:style>
  <w:style w:type="character" w:customStyle="1" w:styleId="Char1">
    <w:name w:val="页眉 Char"/>
    <w:basedOn w:val="a0"/>
    <w:link w:val="a5"/>
    <w:uiPriority w:val="99"/>
    <w:semiHidden/>
    <w:qFormat/>
    <w:rsid w:val="007E6485"/>
    <w:rPr>
      <w:sz w:val="18"/>
      <w:szCs w:val="18"/>
    </w:rPr>
  </w:style>
  <w:style w:type="character" w:customStyle="1" w:styleId="Char0">
    <w:name w:val="页脚 Char"/>
    <w:basedOn w:val="a0"/>
    <w:link w:val="a4"/>
    <w:uiPriority w:val="99"/>
    <w:rsid w:val="007E6485"/>
    <w:rPr>
      <w:sz w:val="18"/>
      <w:szCs w:val="18"/>
    </w:rPr>
  </w:style>
  <w:style w:type="character" w:customStyle="1" w:styleId="Char">
    <w:name w:val="批注框文本 Char"/>
    <w:basedOn w:val="a0"/>
    <w:link w:val="a3"/>
    <w:uiPriority w:val="99"/>
    <w:semiHidden/>
    <w:rsid w:val="007E648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1177</Words>
  <Characters>6712</Characters>
  <Application>Microsoft Office Word</Application>
  <DocSecurity>0</DocSecurity>
  <Lines>55</Lines>
  <Paragraphs>15</Paragraphs>
  <ScaleCrop>false</ScaleCrop>
  <Company/>
  <LinksUpToDate>false</LinksUpToDate>
  <CharactersWithSpaces>7874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dcterms:created xsi:type="dcterms:W3CDTF">2018-08-20T06:37:00Z</dcterms:created>
  <dcterms:modified xsi:type="dcterms:W3CDTF">2018-10-17T01:37:00Z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