
<file path=[Content_Types].xml><?xml version="1.0" encoding="utf-8"?>
<Types xmlns="http://schemas.openxmlformats.org/package/2006/content-types">
  <Default Extension="xml" ContentType="application/xml"/>
  <Default Extension="jpeg" ContentType="image/jpe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widowControl/>
        <w:suppressLineNumbers w:val="0"/>
        <w:spacing w:before="0" w:beforeAutospacing="0" w:after="0" w:afterAutospacing="0"/>
        <w:ind w:left="0" w:right="0"/>
        <w:jc w:val="center"/>
        <w:rPr>
          <w:sz w:val="36"/>
          <w:szCs w:val="36"/>
        </w:rPr>
      </w:pPr>
      <w:r>
        <w:rPr>
          <w:rFonts w:ascii="宋体" w:hAnsi="宋体" w:eastAsia="宋体" w:cs="宋体"/>
          <w:color w:val="9E5C00"/>
          <w:sz w:val="36"/>
          <w:szCs w:val="36"/>
        </w:rPr>
        <w:t>2015年真题</w:t>
      </w:r>
    </w:p>
    <w:p>
      <w:pPr>
        <w:keepNext w:val="0"/>
        <w:keepLines w:val="0"/>
        <w:widowControl/>
        <w:suppressLineNumbers w:val="0"/>
        <w:spacing w:before="0" w:beforeAutospacing="0" w:after="15" w:afterAutospacing="0"/>
        <w:ind w:left="0" w:right="0"/>
        <w:jc w:val="left"/>
      </w:pPr>
      <w:r>
        <w:rPr>
          <w:rStyle w:val="8"/>
          <w:rFonts w:ascii="宋体" w:hAnsi="宋体" w:eastAsia="宋体" w:cs="宋体"/>
          <w:sz w:val="24"/>
          <w:szCs w:val="24"/>
        </w:rPr>
        <w:t xml:space="preserve">一、案例分析题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1. 某购物中心地下2层、地上4层，建筑高度24m，耐火等级二级。地下二层室内地面与室外出入口地坪高差为11.5m。</w:t>
      </w:r>
      <w:r>
        <w:rPr>
          <w:rFonts w:ascii="宋体" w:hAnsi="宋体" w:eastAsia="宋体" w:cs="宋体"/>
          <w:sz w:val="27"/>
          <w:szCs w:val="27"/>
        </w:rPr>
        <w:br w:type="textWrapping"/>
      </w:r>
      <w:r>
        <w:rPr>
          <w:rFonts w:ascii="宋体" w:hAnsi="宋体" w:eastAsia="宋体" w:cs="宋体"/>
          <w:sz w:val="27"/>
          <w:szCs w:val="27"/>
        </w:rPr>
        <w:t>地下每层建筑面积15200m</w:t>
      </w:r>
      <w:r>
        <w:rPr>
          <w:rFonts w:ascii="宋体" w:hAnsi="宋体" w:eastAsia="宋体" w:cs="宋体"/>
          <w:sz w:val="27"/>
          <w:szCs w:val="27"/>
          <w:vertAlign w:val="superscript"/>
        </w:rPr>
        <w:t>2</w:t>
      </w:r>
      <w:r>
        <w:rPr>
          <w:rFonts w:ascii="宋体" w:hAnsi="宋体" w:eastAsia="宋体" w:cs="宋体"/>
          <w:sz w:val="27"/>
          <w:szCs w:val="27"/>
        </w:rPr>
        <w:t>。地下二层设置汽车</w:t>
      </w:r>
      <w:bookmarkStart w:id="0" w:name="_GoBack"/>
      <w:bookmarkEnd w:id="0"/>
      <w:r>
        <w:rPr>
          <w:rFonts w:ascii="宋体" w:hAnsi="宋体" w:eastAsia="宋体" w:cs="宋体"/>
          <w:sz w:val="27"/>
          <w:szCs w:val="27"/>
        </w:rPr>
        <w:t>库和变配电房、消防水泵房等设备用地及建筑面积5820m</w:t>
      </w:r>
      <w:r>
        <w:rPr>
          <w:rFonts w:ascii="宋体" w:hAnsi="宋体" w:eastAsia="宋体" w:cs="宋体"/>
          <w:sz w:val="27"/>
          <w:szCs w:val="27"/>
          <w:vertAlign w:val="superscript"/>
        </w:rPr>
        <w:t>2</w:t>
      </w:r>
      <w:r>
        <w:rPr>
          <w:rFonts w:ascii="宋体" w:hAnsi="宋体" w:eastAsia="宋体" w:cs="宋体"/>
          <w:sz w:val="27"/>
          <w:szCs w:val="27"/>
        </w:rPr>
        <w:t>的建材商场（经营五金、洁片、瓷砖、桶装油漆、香蕉水等），地下一层为家具、灯饰商场，设有多部自动扶梯与建材商场联通，自动扶梯上下层相连通的开口部位设置防火卷帘。</w:t>
      </w:r>
      <w:r>
        <w:rPr>
          <w:rFonts w:ascii="宋体" w:hAnsi="宋体" w:eastAsia="宋体" w:cs="宋体"/>
          <w:sz w:val="27"/>
          <w:szCs w:val="27"/>
        </w:rPr>
        <w:br w:type="textWrapping"/>
      </w:r>
      <w:r>
        <w:rPr>
          <w:rFonts w:ascii="宋体" w:hAnsi="宋体" w:eastAsia="宋体" w:cs="宋体"/>
          <w:sz w:val="27"/>
          <w:szCs w:val="27"/>
        </w:rPr>
        <w:t>地下商场部分的每个防火分区面积不大于2000m</w:t>
      </w:r>
      <w:r>
        <w:rPr>
          <w:rFonts w:ascii="宋体" w:hAnsi="宋体" w:eastAsia="宋体" w:cs="宋体"/>
          <w:sz w:val="27"/>
          <w:szCs w:val="27"/>
          <w:vertAlign w:val="superscript"/>
        </w:rPr>
        <w:t>2</w:t>
      </w:r>
      <w:r>
        <w:rPr>
          <w:rFonts w:ascii="宋体" w:hAnsi="宋体" w:eastAsia="宋体" w:cs="宋体"/>
          <w:sz w:val="27"/>
          <w:szCs w:val="27"/>
        </w:rPr>
        <w:t>。采用耐火极限为1.5h的不燃性楼板和防火墙及符合规定的防火卷帘进行分隔，在相邻防火分区的防火墙上均设有向疏散方向开启的甲级防火门。</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地上一层至三层为商场，每层建筑面积12000m</w:t>
      </w:r>
      <w:r>
        <w:rPr>
          <w:rFonts w:ascii="宋体" w:hAnsi="宋体" w:eastAsia="宋体" w:cs="宋体"/>
          <w:sz w:val="27"/>
          <w:szCs w:val="27"/>
          <w:vertAlign w:val="superscript"/>
        </w:rPr>
        <w:t>2</w:t>
      </w:r>
      <w:r>
        <w:rPr>
          <w:rFonts w:ascii="宋体" w:hAnsi="宋体" w:eastAsia="宋体" w:cs="宋体"/>
          <w:sz w:val="27"/>
          <w:szCs w:val="27"/>
        </w:rPr>
        <w:t>，主要经营服装、鞋类、箱包和电器等商品。四层建筑面积5600m</w:t>
      </w:r>
      <w:r>
        <w:rPr>
          <w:rFonts w:ascii="宋体" w:hAnsi="宋体" w:eastAsia="宋体" w:cs="宋体"/>
          <w:sz w:val="27"/>
          <w:szCs w:val="27"/>
          <w:vertAlign w:val="superscript"/>
        </w:rPr>
        <w:t>2</w:t>
      </w:r>
      <w:r>
        <w:rPr>
          <w:rFonts w:ascii="宋体" w:hAnsi="宋体" w:eastAsia="宋体" w:cs="宋体"/>
          <w:sz w:val="27"/>
          <w:szCs w:val="27"/>
        </w:rPr>
        <w:t>，主要功能为餐厅、游艺厅、儿童游乐厅和电影院。电影院有8个观众厅，每个观众厅面积在186m2-390m</w:t>
      </w:r>
      <w:r>
        <w:rPr>
          <w:rFonts w:ascii="宋体" w:hAnsi="宋体" w:eastAsia="宋体" w:cs="宋体"/>
          <w:sz w:val="27"/>
          <w:szCs w:val="27"/>
          <w:vertAlign w:val="superscript"/>
        </w:rPr>
        <w:t>2</w:t>
      </w:r>
      <w:r>
        <w:rPr>
          <w:rFonts w:ascii="宋体" w:hAnsi="宋体" w:eastAsia="宋体" w:cs="宋体"/>
          <w:sz w:val="27"/>
          <w:szCs w:val="27"/>
        </w:rPr>
        <w:t>之间。游艺厅有2个厅室，建筑面积分别为216m</w:t>
      </w:r>
      <w:r>
        <w:rPr>
          <w:rFonts w:ascii="宋体" w:hAnsi="宋体" w:eastAsia="宋体" w:cs="宋体"/>
          <w:sz w:val="27"/>
          <w:szCs w:val="27"/>
          <w:vertAlign w:val="superscript"/>
        </w:rPr>
        <w:t>2</w:t>
      </w:r>
      <w:r>
        <w:rPr>
          <w:rFonts w:ascii="宋体" w:hAnsi="宋体" w:eastAsia="宋体" w:cs="宋体"/>
          <w:sz w:val="27"/>
          <w:szCs w:val="27"/>
        </w:rPr>
        <w:t>、147m</w:t>
      </w:r>
      <w:r>
        <w:rPr>
          <w:rFonts w:ascii="宋体" w:hAnsi="宋体" w:eastAsia="宋体" w:cs="宋体"/>
          <w:sz w:val="27"/>
          <w:szCs w:val="27"/>
          <w:vertAlign w:val="superscript"/>
        </w:rPr>
        <w:t>2</w:t>
      </w:r>
      <w:r>
        <w:rPr>
          <w:rFonts w:ascii="宋体" w:hAnsi="宋体" w:eastAsia="宋体" w:cs="宋体"/>
          <w:sz w:val="27"/>
          <w:szCs w:val="27"/>
        </w:rPr>
        <w:t>。游艺厅和电影院侯场区均采用不到顶的玻璃隔断、玻璃门与其他部位分隔，安全出口符合规范规定。</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每层疏散照明的地面水平照度为1.0lx，备用电源连续供电时间0.6h。</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购物中心外墙外保温系统的温暖材料采用模塑聚苯板，保温材料与基层墙体、装饰层之间有0.17m~0.6m的空腔，在楼板处每隔一层用防火封堵材料对空腔进行防火封堵。</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购物中心按规范配置了室内外消火栓系统、自动喷水灭火系统和火灾自动报警系统等消防设施。</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根据以上材料，回答问题：</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b/>
          <w:sz w:val="27"/>
          <w:szCs w:val="27"/>
        </w:rPr>
        <w:t>本题知识点：</w:t>
      </w:r>
      <w:r>
        <w:rPr>
          <w:rFonts w:ascii="宋体" w:hAnsi="宋体" w:eastAsia="宋体" w:cs="宋体"/>
          <w:sz w:val="27"/>
          <w:szCs w:val="27"/>
        </w:rPr>
        <w:t xml:space="preserve">消防水泵房的防火设置要求,多层民用建筑防火分区的划分,多层公共建筑的安全疏散要求,歌舞娱乐放映游艺场所室内装修的防火要求, </w:t>
      </w:r>
    </w:p>
    <w:p>
      <w:pPr>
        <w:keepNext w:val="0"/>
        <w:keepLines w:val="0"/>
        <w:widowControl/>
        <w:suppressLineNumbers w:val="0"/>
        <w:pBdr>
          <w:top w:val="none" w:color="auto" w:sz="0" w:space="0"/>
        </w:pBdr>
        <w:spacing w:before="0" w:beforeAutospacing="0" w:after="15" w:afterAutospacing="0"/>
        <w:ind w:left="0" w:right="0"/>
        <w:jc w:val="left"/>
        <w:rPr>
          <w:sz w:val="27"/>
          <w:szCs w:val="27"/>
        </w:rPr>
      </w:pPr>
      <w:r>
        <w:rPr>
          <w:rFonts w:ascii="宋体" w:hAnsi="宋体" w:eastAsia="宋体" w:cs="宋体"/>
          <w:sz w:val="27"/>
          <w:szCs w:val="27"/>
        </w:rPr>
        <w:t xml:space="preserve">1） 指出地下二层、地上四层平面布置方面存在的问题。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FF0000"/>
          <w:sz w:val="27"/>
          <w:szCs w:val="27"/>
        </w:rPr>
        <w:t>正确答案</w:t>
      </w:r>
      <w:r>
        <w:rPr>
          <w:rFonts w:ascii="宋体" w:hAnsi="宋体" w:eastAsia="宋体" w:cs="宋体"/>
          <w:sz w:val="27"/>
          <w:szCs w:val="27"/>
        </w:rPr>
        <w:t>】 地下二层：1）消防水泵房，不应设置在地下三层及以下或地下室内地面与室外出入口地坪高差大于10m的楼层，情景描述中，消防水泵房等设备用地，地下二层室内地面与室外出入口地坪高差为11.5m。则消防水泵房设置不符要求。</w:t>
      </w:r>
      <w:r>
        <w:rPr>
          <w:rFonts w:ascii="宋体" w:hAnsi="宋体" w:eastAsia="宋体" w:cs="宋体"/>
          <w:sz w:val="27"/>
          <w:szCs w:val="27"/>
        </w:rPr>
        <w:br w:type="textWrapping"/>
      </w:r>
      <w:r>
        <w:rPr>
          <w:rFonts w:ascii="宋体" w:hAnsi="宋体" w:eastAsia="宋体" w:cs="宋体"/>
          <w:sz w:val="27"/>
          <w:szCs w:val="27"/>
        </w:rPr>
        <w:t>2）变压器室应设置在首层或地下一层靠外墙部位，变压器室的门应直通室外或直通安全出口。并且不能贴邻人员密集场所。</w:t>
      </w:r>
      <w:r>
        <w:rPr>
          <w:rFonts w:ascii="宋体" w:hAnsi="宋体" w:eastAsia="宋体" w:cs="宋体"/>
          <w:sz w:val="27"/>
          <w:szCs w:val="27"/>
        </w:rPr>
        <w:br w:type="textWrapping"/>
      </w:r>
      <w:r>
        <w:rPr>
          <w:rFonts w:ascii="宋体" w:hAnsi="宋体" w:eastAsia="宋体" w:cs="宋体"/>
          <w:sz w:val="27"/>
          <w:szCs w:val="27"/>
        </w:rPr>
        <w:t>3)歌舞娱乐放映游艺场所设置在其它楼层时，一个厅、室的建筑面积不应超过200㎡。游艺厅有2个厅室，建筑面积分别为216㎡、147㎡。其中的216㎡不符合规范规定。</w:t>
      </w:r>
      <w:r>
        <w:rPr>
          <w:rFonts w:ascii="宋体" w:hAnsi="宋体" w:eastAsia="宋体" w:cs="宋体"/>
          <w:sz w:val="27"/>
          <w:szCs w:val="27"/>
        </w:rPr>
        <w:br w:type="textWrapping"/>
      </w:r>
      <w:r>
        <w:rPr>
          <w:rFonts w:ascii="宋体" w:hAnsi="宋体" w:eastAsia="宋体" w:cs="宋体"/>
          <w:sz w:val="27"/>
          <w:szCs w:val="27"/>
        </w:rPr>
        <w:t>4）托儿所、幼儿园的儿童用房和儿童游乐厅等儿童活动场所宜设置在独立的建筑内。当一、二级耐火等级的多层和高层建筑内设置时，应设置在建筑物的首层或二、三层；本案例设在四层不符合要求。</w:t>
      </w:r>
      <w:r>
        <w:rPr>
          <w:rFonts w:ascii="宋体" w:hAnsi="宋体" w:eastAsia="宋体" w:cs="宋体"/>
          <w:sz w:val="27"/>
          <w:szCs w:val="27"/>
        </w:rPr>
        <w:br w:type="textWrapping"/>
      </w:r>
      <w:r>
        <w:rPr>
          <w:rFonts w:ascii="宋体" w:hAnsi="宋体" w:eastAsia="宋体" w:cs="宋体"/>
          <w:sz w:val="27"/>
          <w:szCs w:val="27"/>
        </w:rPr>
        <w:t xml:space="preserve">5）属于其他类：建材商店经营的油漆与香蕉水属于甲类危险品，根据规定地下建筑内不得储存和经营甲乙类危险商品。依据新建规5.4.3地下或半地下营业厅、展览厅不应经营、储存和展示甲、乙类火灾危险性物品。（2015年真题）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006600"/>
          <w:sz w:val="27"/>
          <w:szCs w:val="27"/>
        </w:rPr>
        <w:t>答案解析</w:t>
      </w:r>
      <w:r>
        <w:rPr>
          <w:rFonts w:ascii="宋体" w:hAnsi="宋体" w:eastAsia="宋体" w:cs="宋体"/>
          <w:sz w:val="27"/>
          <w:szCs w:val="27"/>
        </w:rPr>
        <w:t xml:space="preserve">】 实务教材第二篇第四章第三节。（2015年真题）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b/>
          <w:sz w:val="27"/>
          <w:szCs w:val="27"/>
        </w:rPr>
        <w:t>本题知识点：</w:t>
      </w:r>
      <w:r>
        <w:rPr>
          <w:rFonts w:ascii="宋体" w:hAnsi="宋体" w:eastAsia="宋体" w:cs="宋体"/>
          <w:sz w:val="27"/>
          <w:szCs w:val="27"/>
        </w:rPr>
        <w:t>消防水泵房的防火设置要求</w:t>
      </w:r>
    </w:p>
    <w:p>
      <w:pPr>
        <w:keepNext w:val="0"/>
        <w:keepLines w:val="0"/>
        <w:widowControl/>
        <w:suppressLineNumbers w:val="0"/>
        <w:spacing w:before="0" w:beforeAutospacing="0" w:after="240" w:afterAutospacing="0"/>
        <w:ind w:left="0" w:right="0"/>
        <w:jc w:val="left"/>
      </w:pPr>
    </w:p>
    <w:p>
      <w:pPr>
        <w:keepNext w:val="0"/>
        <w:keepLines w:val="0"/>
        <w:widowControl/>
        <w:suppressLineNumbers w:val="0"/>
        <w:pBdr>
          <w:top w:val="none" w:color="auto" w:sz="0" w:space="0"/>
        </w:pBdr>
        <w:spacing w:before="0" w:beforeAutospacing="0" w:after="15" w:afterAutospacing="0"/>
        <w:ind w:left="0" w:right="0"/>
        <w:jc w:val="left"/>
        <w:rPr>
          <w:sz w:val="27"/>
          <w:szCs w:val="27"/>
        </w:rPr>
      </w:pPr>
      <w:r>
        <w:rPr>
          <w:rFonts w:ascii="宋体" w:hAnsi="宋体" w:eastAsia="宋体" w:cs="宋体"/>
          <w:sz w:val="27"/>
          <w:szCs w:val="27"/>
        </w:rPr>
        <w:t xml:space="preserve">2） 指出地下商场防火分区方面存在的问题，并提出消防规范规定的整改措施。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FF0000"/>
          <w:sz w:val="27"/>
          <w:szCs w:val="27"/>
        </w:rPr>
        <w:t>正确答案</w:t>
      </w:r>
      <w:r>
        <w:rPr>
          <w:rFonts w:ascii="宋体" w:hAnsi="宋体" w:eastAsia="宋体" w:cs="宋体"/>
          <w:sz w:val="27"/>
          <w:szCs w:val="27"/>
        </w:rPr>
        <w:t>】 1）游艺厅和电影院设置在一、二级耐火等级的多层民用建筑内时，应采用耐火极限不低于2.00h的防火隔墙和甲级防火门与其他区域分隔。游艺厅和电影院候场区均采用不到顶的玻璃隔断、玻璃门与其他部位分隔不符合规定要求。</w:t>
      </w:r>
      <w:r>
        <w:rPr>
          <w:rFonts w:ascii="宋体" w:hAnsi="宋体" w:eastAsia="宋体" w:cs="宋体"/>
          <w:sz w:val="27"/>
          <w:szCs w:val="27"/>
        </w:rPr>
        <w:br w:type="textWrapping"/>
      </w:r>
      <w:r>
        <w:rPr>
          <w:rFonts w:ascii="宋体" w:hAnsi="宋体" w:eastAsia="宋体" w:cs="宋体"/>
          <w:sz w:val="27"/>
          <w:szCs w:val="27"/>
        </w:rPr>
        <w:t>2）电影院防火分区的最大允许建筑面积不应大于1000㎡；当设置自动喷水灭火系统和火灾自动报警系统时，该面积也不得增加。</w:t>
      </w:r>
      <w:r>
        <w:rPr>
          <w:rFonts w:ascii="宋体" w:hAnsi="宋体" w:eastAsia="宋体" w:cs="宋体"/>
          <w:sz w:val="27"/>
          <w:szCs w:val="27"/>
        </w:rPr>
        <w:br w:type="textWrapping"/>
      </w:r>
      <w:r>
        <w:rPr>
          <w:rFonts w:ascii="宋体" w:hAnsi="宋体" w:eastAsia="宋体" w:cs="宋体"/>
          <w:sz w:val="27"/>
          <w:szCs w:val="27"/>
        </w:rPr>
        <w:t xml:space="preserve">情景中：电影院有8个观众厅，每个观众厅面积在186m2-390m2之间，则总面积至少为186×7+390=1692，电影院部分至少单独划分为两个防火分区，应按照每个防火分区不大于1000㎡划分，同时应符合消防其他相应规范要求。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006600"/>
          <w:sz w:val="27"/>
          <w:szCs w:val="27"/>
        </w:rPr>
        <w:t>答案解析</w:t>
      </w:r>
      <w:r>
        <w:rPr>
          <w:rFonts w:ascii="宋体" w:hAnsi="宋体" w:eastAsia="宋体" w:cs="宋体"/>
          <w:sz w:val="27"/>
          <w:szCs w:val="27"/>
        </w:rPr>
        <w:t xml:space="preserve">】 实务教材第二篇第五章第一节、第二节。（2015年真题）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b/>
          <w:sz w:val="27"/>
          <w:szCs w:val="27"/>
        </w:rPr>
        <w:t>本题知识点：</w:t>
      </w:r>
      <w:r>
        <w:rPr>
          <w:rFonts w:ascii="宋体" w:hAnsi="宋体" w:eastAsia="宋体" w:cs="宋体"/>
          <w:sz w:val="27"/>
          <w:szCs w:val="27"/>
        </w:rPr>
        <w:t>消防水泵房的防火设置要求,多层民用建筑防火分区的划分</w:t>
      </w:r>
    </w:p>
    <w:p>
      <w:pPr>
        <w:keepNext w:val="0"/>
        <w:keepLines w:val="0"/>
        <w:widowControl/>
        <w:suppressLineNumbers w:val="0"/>
        <w:spacing w:before="0" w:beforeAutospacing="0" w:after="240" w:afterAutospacing="0"/>
        <w:ind w:left="0" w:right="0"/>
        <w:jc w:val="left"/>
      </w:pPr>
    </w:p>
    <w:p>
      <w:pPr>
        <w:keepNext w:val="0"/>
        <w:keepLines w:val="0"/>
        <w:widowControl/>
        <w:suppressLineNumbers w:val="0"/>
        <w:pBdr>
          <w:top w:val="none" w:color="auto" w:sz="0" w:space="0"/>
        </w:pBdr>
        <w:spacing w:before="0" w:beforeAutospacing="0" w:after="15" w:afterAutospacing="0"/>
        <w:ind w:left="0" w:right="0"/>
        <w:jc w:val="left"/>
        <w:rPr>
          <w:sz w:val="27"/>
          <w:szCs w:val="27"/>
        </w:rPr>
      </w:pPr>
      <w:r>
        <w:rPr>
          <w:rFonts w:ascii="宋体" w:hAnsi="宋体" w:eastAsia="宋体" w:cs="宋体"/>
          <w:sz w:val="27"/>
          <w:szCs w:val="27"/>
        </w:rPr>
        <w:t xml:space="preserve">3） 分别列式计算购物中心地下一、二层安全出口的最小总净宽度，地下一层安全出口最小总净宽度应为多少？（以m为单位，计算结果保留1位小数）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FF0000"/>
          <w:sz w:val="27"/>
          <w:szCs w:val="27"/>
        </w:rPr>
        <w:t>正确答案</w:t>
      </w:r>
      <w:r>
        <w:rPr>
          <w:rFonts w:ascii="宋体" w:hAnsi="宋体" w:eastAsia="宋体" w:cs="宋体"/>
          <w:sz w:val="27"/>
          <w:szCs w:val="27"/>
        </w:rPr>
        <w:t>】 地下一层为地下一层为家具、灯饰商场其人员密度按30%折算，地下或半地下人员密集的厅、室应根据疏散人数按每100人不小于1.00m计算1.00m/百人，地下一层安全出口的最小总净宽=15200×0.6×0.3×1/100=27.4m地下二层为建材城，人员密度按30%折算，地下二层与地面高差大于10m百人疏散指标取1m/百人，同时地下或半地下人员密集的厅、室应根据疏散人数按每100人不小于1.00m计算1.00m/百人，取值1。</w:t>
      </w:r>
      <w:r>
        <w:rPr>
          <w:rFonts w:ascii="宋体" w:hAnsi="宋体" w:eastAsia="宋体" w:cs="宋体"/>
          <w:sz w:val="27"/>
          <w:szCs w:val="27"/>
        </w:rPr>
        <w:br w:type="textWrapping"/>
      </w:r>
      <w:r>
        <w:rPr>
          <w:rFonts w:ascii="宋体" w:hAnsi="宋体" w:eastAsia="宋体" w:cs="宋体"/>
          <w:sz w:val="27"/>
          <w:szCs w:val="27"/>
        </w:rPr>
        <w:t>地下二层安全出口的最小总净宽=5820m²×0.56×30%×1m/百人/100=9.8m。</w:t>
      </w:r>
      <w:r>
        <w:rPr>
          <w:rFonts w:ascii="宋体" w:hAnsi="宋体" w:eastAsia="宋体" w:cs="宋体"/>
          <w:sz w:val="27"/>
          <w:szCs w:val="27"/>
        </w:rPr>
        <w:br w:type="textWrapping"/>
      </w:r>
      <w:r>
        <w:rPr>
          <w:rFonts w:ascii="宋体" w:hAnsi="宋体" w:eastAsia="宋体" w:cs="宋体"/>
          <w:sz w:val="27"/>
          <w:szCs w:val="27"/>
        </w:rPr>
        <w:t xml:space="preserve">依据实务教材第二篇第六章第一节：地下建筑中上层楼梯的总宽度应按其下层人数最多一层的人数计算。故地下一层安全出口最小总净宽度应为27.4m。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006600"/>
          <w:sz w:val="27"/>
          <w:szCs w:val="27"/>
        </w:rPr>
        <w:t>答案解析</w:t>
      </w:r>
      <w:r>
        <w:rPr>
          <w:rFonts w:ascii="宋体" w:hAnsi="宋体" w:eastAsia="宋体" w:cs="宋体"/>
          <w:sz w:val="27"/>
          <w:szCs w:val="27"/>
        </w:rPr>
        <w:t xml:space="preserve">】 实务教材第二篇第六章第一节。（2015年真题）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b/>
          <w:sz w:val="27"/>
          <w:szCs w:val="27"/>
        </w:rPr>
        <w:t>本题知识点：</w:t>
      </w:r>
      <w:r>
        <w:rPr>
          <w:rFonts w:ascii="宋体" w:hAnsi="宋体" w:eastAsia="宋体" w:cs="宋体"/>
          <w:sz w:val="27"/>
          <w:szCs w:val="27"/>
        </w:rPr>
        <w:t>多层公共建筑的安全疏散要求</w:t>
      </w:r>
    </w:p>
    <w:p>
      <w:pPr>
        <w:keepNext w:val="0"/>
        <w:keepLines w:val="0"/>
        <w:widowControl/>
        <w:suppressLineNumbers w:val="0"/>
        <w:spacing w:before="0" w:beforeAutospacing="0" w:after="240" w:afterAutospacing="0"/>
        <w:ind w:left="0" w:right="0"/>
        <w:jc w:val="left"/>
      </w:pPr>
    </w:p>
    <w:p>
      <w:pPr>
        <w:keepNext w:val="0"/>
        <w:keepLines w:val="0"/>
        <w:widowControl/>
        <w:suppressLineNumbers w:val="0"/>
        <w:pBdr>
          <w:top w:val="none" w:color="auto" w:sz="0" w:space="0"/>
        </w:pBdr>
        <w:spacing w:before="0" w:beforeAutospacing="0" w:after="15" w:afterAutospacing="0"/>
        <w:ind w:left="0" w:right="0"/>
        <w:jc w:val="left"/>
        <w:rPr>
          <w:sz w:val="27"/>
          <w:szCs w:val="27"/>
        </w:rPr>
      </w:pPr>
      <w:r>
        <w:rPr>
          <w:rFonts w:ascii="宋体" w:hAnsi="宋体" w:eastAsia="宋体" w:cs="宋体"/>
          <w:sz w:val="27"/>
          <w:szCs w:val="27"/>
        </w:rPr>
        <w:t xml:space="preserve">4） 判断购物中心的疏散照明设置是否正确，并说明理由。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FF0000"/>
          <w:sz w:val="27"/>
          <w:szCs w:val="27"/>
        </w:rPr>
        <w:t>正确答案</w:t>
      </w:r>
      <w:r>
        <w:rPr>
          <w:rFonts w:ascii="宋体" w:hAnsi="宋体" w:eastAsia="宋体" w:cs="宋体"/>
          <w:sz w:val="27"/>
          <w:szCs w:val="27"/>
        </w:rPr>
        <w:t>】 应急照明设置不正确，人员密集场所地面照度不小于3lx。</w:t>
      </w:r>
      <w:r>
        <w:rPr>
          <w:rFonts w:ascii="宋体" w:hAnsi="宋体" w:eastAsia="宋体" w:cs="宋体"/>
          <w:sz w:val="27"/>
          <w:szCs w:val="27"/>
        </w:rPr>
        <w:br w:type="textWrapping"/>
      </w:r>
      <w:r>
        <w:rPr>
          <w:rFonts w:ascii="宋体" w:hAnsi="宋体" w:eastAsia="宋体" w:cs="宋体"/>
          <w:sz w:val="27"/>
          <w:szCs w:val="27"/>
        </w:rPr>
        <w:t>《建筑设计防火规范》10.1.52医疗建筑、老年人建筑、总建筑面积大于100000m²的公共建筑和总建筑面积大于20000m²的地下、半地下建筑，不应少于1.0h；</w:t>
      </w:r>
      <w:r>
        <w:rPr>
          <w:rFonts w:ascii="宋体" w:hAnsi="宋体" w:eastAsia="宋体" w:cs="宋体"/>
          <w:sz w:val="27"/>
          <w:szCs w:val="27"/>
        </w:rPr>
        <w:br w:type="textWrapping"/>
      </w:r>
      <w:r>
        <w:rPr>
          <w:rFonts w:ascii="宋体" w:hAnsi="宋体" w:eastAsia="宋体" w:cs="宋体"/>
          <w:sz w:val="27"/>
          <w:szCs w:val="27"/>
        </w:rPr>
        <w:t xml:space="preserve">总建筑面积12000*3+5600+15200*2=36000+5600+30400=72000&lt;100000平米，15200+5820=21020大于20000m²，综合判定备用电源连续供电时间0.6h不满足要求，需增加为不应少于1.0h。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006600"/>
          <w:sz w:val="27"/>
          <w:szCs w:val="27"/>
        </w:rPr>
        <w:t>答案解析</w:t>
      </w:r>
      <w:r>
        <w:rPr>
          <w:rFonts w:ascii="宋体" w:hAnsi="宋体" w:eastAsia="宋体" w:cs="宋体"/>
          <w:sz w:val="27"/>
          <w:szCs w:val="27"/>
        </w:rPr>
        <w:t xml:space="preserve">】 实务教材第二篇第六章第六节。（2015年真题）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b/>
          <w:sz w:val="27"/>
          <w:szCs w:val="27"/>
        </w:rPr>
        <w:t>本题知识点：</w:t>
      </w:r>
      <w:r>
        <w:rPr>
          <w:rFonts w:ascii="宋体" w:hAnsi="宋体" w:eastAsia="宋体" w:cs="宋体"/>
          <w:sz w:val="27"/>
          <w:szCs w:val="27"/>
        </w:rPr>
        <w:t>多层公共建筑的安全疏散要求</w:t>
      </w:r>
    </w:p>
    <w:p>
      <w:pPr>
        <w:keepNext w:val="0"/>
        <w:keepLines w:val="0"/>
        <w:widowControl/>
        <w:suppressLineNumbers w:val="0"/>
        <w:spacing w:before="0" w:beforeAutospacing="0" w:after="240" w:afterAutospacing="0"/>
        <w:ind w:left="0" w:right="0"/>
        <w:jc w:val="left"/>
      </w:pPr>
    </w:p>
    <w:p>
      <w:pPr>
        <w:keepNext w:val="0"/>
        <w:keepLines w:val="0"/>
        <w:widowControl/>
        <w:suppressLineNumbers w:val="0"/>
        <w:pBdr>
          <w:top w:val="none" w:color="auto" w:sz="0" w:space="0"/>
        </w:pBdr>
        <w:spacing w:before="0" w:beforeAutospacing="0" w:after="15" w:afterAutospacing="0"/>
        <w:ind w:left="0" w:right="0"/>
        <w:jc w:val="left"/>
        <w:rPr>
          <w:sz w:val="27"/>
          <w:szCs w:val="27"/>
        </w:rPr>
      </w:pPr>
      <w:r>
        <w:rPr>
          <w:rFonts w:ascii="宋体" w:hAnsi="宋体" w:eastAsia="宋体" w:cs="宋体"/>
          <w:sz w:val="27"/>
          <w:szCs w:val="27"/>
        </w:rPr>
        <w:t xml:space="preserve">5） 指出购物中心外墙外保温系统防火措施存在的问题。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FF0000"/>
          <w:sz w:val="27"/>
          <w:szCs w:val="27"/>
        </w:rPr>
        <w:t>正确答案</w:t>
      </w:r>
      <w:r>
        <w:rPr>
          <w:rFonts w:ascii="宋体" w:hAnsi="宋体" w:eastAsia="宋体" w:cs="宋体"/>
          <w:sz w:val="27"/>
          <w:szCs w:val="27"/>
        </w:rPr>
        <w:t xml:space="preserve">】 设置人员密集场所的建筑，其外墙外保温材料的燃烧性能应为A级。情景模塑聚苯板（EPS）燃烧性能等级为B2级，属于可燃材料，不合格。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006600"/>
          <w:sz w:val="27"/>
          <w:szCs w:val="27"/>
        </w:rPr>
        <w:t>答案解析</w:t>
      </w:r>
      <w:r>
        <w:rPr>
          <w:rFonts w:ascii="宋体" w:hAnsi="宋体" w:eastAsia="宋体" w:cs="宋体"/>
          <w:sz w:val="27"/>
          <w:szCs w:val="27"/>
        </w:rPr>
        <w:t xml:space="preserve">】 《建筑设计防火规范》6.7.4。（2015年真题）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b/>
          <w:sz w:val="27"/>
          <w:szCs w:val="27"/>
        </w:rPr>
        <w:t>本题知识点：</w:t>
      </w:r>
      <w:r>
        <w:rPr>
          <w:rFonts w:ascii="宋体" w:hAnsi="宋体" w:eastAsia="宋体" w:cs="宋体"/>
          <w:sz w:val="27"/>
          <w:szCs w:val="27"/>
        </w:rPr>
        <w:t>歌舞娱乐放映游艺场所室内装修的防火要求</w:t>
      </w:r>
    </w:p>
    <w:p>
      <w:pPr>
        <w:keepNext w:val="0"/>
        <w:keepLines w:val="0"/>
        <w:widowControl/>
        <w:suppressLineNumbers w:val="0"/>
        <w:spacing w:before="0" w:beforeAutospacing="0" w:after="240" w:afterAutospacing="0"/>
        <w:ind w:left="0" w:right="0"/>
        <w:jc w:val="left"/>
      </w:pPr>
    </w:p>
    <w:p>
      <w:pPr>
        <w:keepNext w:val="0"/>
        <w:keepLines w:val="0"/>
        <w:widowControl/>
        <w:suppressLineNumbers w:val="0"/>
        <w:jc w:val="left"/>
      </w:pP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2. 某公司投资建设的大型商业综合体由商业区和超高层写字楼、商品住宅楼及五星级酒店组成。出酒店外，综合体由建设单位下属的物业公司统一管理。建设单位明确了物业公司经理为消防安全管理人，建立了消防安全管理制度，成立了志愿消防组织，明确了专（兼）职消防人员及其职责。在物业管理合同中，约定了产权人、承租人的消防安全管理职责，明确了公共区域、未销售（租赁）区域的消防安全管理、室外消防设施（场地）一级建筑消防设施改造与维护管理等由物业公司统一组织实施，各方未按照相关合同出资。</w:t>
      </w:r>
      <w:r>
        <w:rPr>
          <w:rFonts w:ascii="宋体" w:hAnsi="宋体" w:eastAsia="宋体" w:cs="宋体"/>
          <w:sz w:val="27"/>
          <w:szCs w:val="27"/>
        </w:rPr>
        <w:br w:type="textWrapping"/>
      </w:r>
      <w:r>
        <w:rPr>
          <w:rFonts w:ascii="宋体" w:hAnsi="宋体" w:eastAsia="宋体" w:cs="宋体"/>
          <w:sz w:val="27"/>
          <w:szCs w:val="27"/>
        </w:rPr>
        <w:t>某天营期间，商业区二层某商铺装修时，电焊引发火灾。起火后，装修工人慌乱中掀翻了正在使用的油漆桶，火势迅速扩大；在寻找灭火器无果后，悉数逃离火场。消防控制室（共2名值班人员）接到保安报警，向经理报告后，2人均赶往现场灭火；此时，火灾已向相邻商铺蔓延，值班人员这才向公安消防队报警，公安消防队到场时，火灾已蔓延至相邻防火分区，有多部楼梯间因防火门未关闭，大量进烟。</w:t>
      </w:r>
      <w:r>
        <w:rPr>
          <w:rFonts w:ascii="宋体" w:hAnsi="宋体" w:eastAsia="宋体" w:cs="宋体"/>
          <w:sz w:val="27"/>
          <w:szCs w:val="27"/>
        </w:rPr>
        <w:br w:type="textWrapping"/>
      </w:r>
      <w:r>
        <w:rPr>
          <w:rFonts w:ascii="宋体" w:hAnsi="宋体" w:eastAsia="宋体" w:cs="宋体"/>
          <w:sz w:val="27"/>
          <w:szCs w:val="27"/>
        </w:rPr>
        <w:t>灾后调查，起火点的装修现场采用木质胶合板与相邻区域隔离，现场无序堆放了大量的木质装修材料、油漆及有机溶剂等；现场的火灾探测器因频繁误报在火灾报警探测器上屏蔽、二层的自动喷水灭火系统配水管控制阀因喷头漏水被关闭；动火现场安全监护人员脱岗。防火档案记载，保安在营业期间每3小时防火巡查1次，防火巡查记录均为“正常”。火灾前52天组织的最近一次防火检查，载录了商业区存在“楼梯间防火门水泵阀”、“有的商铺装修现场管理混乱，无消防安全防护措施”、“二层多个商铺装修现场火灾探测器误报，喷头损坏漏水”等3项火灾隐患。</w:t>
      </w:r>
      <w:r>
        <w:rPr>
          <w:rFonts w:ascii="宋体" w:hAnsi="宋体" w:eastAsia="宋体" w:cs="宋体"/>
          <w:sz w:val="27"/>
          <w:szCs w:val="27"/>
        </w:rPr>
        <w:br w:type="textWrapping"/>
      </w:r>
      <w:r>
        <w:rPr>
          <w:rFonts w:ascii="宋体" w:hAnsi="宋体" w:eastAsia="宋体" w:cs="宋体"/>
          <w:sz w:val="27"/>
          <w:szCs w:val="27"/>
        </w:rPr>
        <w:t xml:space="preserve">根据以上材料，回答问题：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b/>
          <w:sz w:val="27"/>
          <w:szCs w:val="27"/>
        </w:rPr>
        <w:t>本题知识点：</w:t>
      </w:r>
      <w:r>
        <w:rPr>
          <w:rFonts w:ascii="宋体" w:hAnsi="宋体" w:eastAsia="宋体" w:cs="宋体"/>
          <w:sz w:val="27"/>
          <w:szCs w:val="27"/>
        </w:rPr>
        <w:t xml:space="preserve">多产权建筑消防安全管理责任和要求,消防安全重点单位灭火和应急疏散预案的演练,施工现场员工消防安全教育培训和演练的要求,火灾隐患的整改要求, </w:t>
      </w:r>
    </w:p>
    <w:p>
      <w:pPr>
        <w:keepNext w:val="0"/>
        <w:keepLines w:val="0"/>
        <w:widowControl/>
        <w:suppressLineNumbers w:val="0"/>
        <w:pBdr>
          <w:top w:val="none" w:color="auto" w:sz="0" w:space="0"/>
        </w:pBdr>
        <w:spacing w:before="0" w:beforeAutospacing="0" w:after="15" w:afterAutospacing="0"/>
        <w:ind w:left="0" w:right="0"/>
        <w:jc w:val="left"/>
        <w:rPr>
          <w:sz w:val="27"/>
          <w:szCs w:val="27"/>
        </w:rPr>
      </w:pPr>
      <w:r>
        <w:rPr>
          <w:rFonts w:ascii="宋体" w:hAnsi="宋体" w:eastAsia="宋体" w:cs="宋体"/>
          <w:sz w:val="27"/>
          <w:szCs w:val="27"/>
        </w:rPr>
        <w:t xml:space="preserve">1） 简述该大型商业综合体对多个产权（使用）单位的消防安全管理是否合理，并说明原因。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FF0000"/>
          <w:sz w:val="27"/>
          <w:szCs w:val="27"/>
        </w:rPr>
        <w:t>正确答案</w:t>
      </w:r>
      <w:r>
        <w:rPr>
          <w:rFonts w:ascii="宋体" w:hAnsi="宋体" w:eastAsia="宋体" w:cs="宋体"/>
          <w:sz w:val="27"/>
          <w:szCs w:val="27"/>
        </w:rPr>
        <w:t>】 规定同一建筑物由两个以上单位管理或者使用的，应当明确各方的消防安全责任，并确定责任人对共用的疏散通道、安全出口、建筑消防设施和消防车通道进行统一管理。大型商业综合体属于消防安全重点单位，各产权（使用）单位均应明确消防安全责任人，建立消防安全管理档案，确立消防安全重点部位。</w:t>
      </w:r>
      <w:r>
        <w:rPr>
          <w:rFonts w:ascii="宋体" w:hAnsi="宋体" w:eastAsia="宋体" w:cs="宋体"/>
          <w:sz w:val="27"/>
          <w:szCs w:val="27"/>
        </w:rPr>
        <w:br w:type="textWrapping"/>
      </w:r>
      <w:r>
        <w:rPr>
          <w:rFonts w:ascii="宋体" w:hAnsi="宋体" w:eastAsia="宋体" w:cs="宋体"/>
          <w:sz w:val="27"/>
          <w:szCs w:val="27"/>
        </w:rPr>
        <w:t xml:space="preserve">本案例大型商业综合体由商业区和超高层写字楼、商品住宅楼及五星级酒店组成。除酒店外，都按照相关规定执行。但是酒店部分与其他部分有共用的疏散通道、疏散出口、安全出口、建筑消防设施、消防车道，所以这些共用部分均应同其他部分一样明确各方的安全消防责任并确定责任人对共用部分进行统一管理。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006600"/>
          <w:sz w:val="27"/>
          <w:szCs w:val="27"/>
        </w:rPr>
        <w:t>答案解析</w:t>
      </w:r>
      <w:r>
        <w:rPr>
          <w:rFonts w:ascii="宋体" w:hAnsi="宋体" w:eastAsia="宋体" w:cs="宋体"/>
          <w:sz w:val="27"/>
          <w:szCs w:val="27"/>
        </w:rPr>
        <w:t xml:space="preserve">】 综合教材第一篇第一章第一节。（2015年真题）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b/>
          <w:sz w:val="27"/>
          <w:szCs w:val="27"/>
        </w:rPr>
        <w:t>本题知识点：</w:t>
      </w:r>
      <w:r>
        <w:rPr>
          <w:rFonts w:ascii="宋体" w:hAnsi="宋体" w:eastAsia="宋体" w:cs="宋体"/>
          <w:sz w:val="27"/>
          <w:szCs w:val="27"/>
        </w:rPr>
        <w:t>多产权建筑消防安全管理责任和要求</w:t>
      </w:r>
    </w:p>
    <w:p>
      <w:pPr>
        <w:keepNext w:val="0"/>
        <w:keepLines w:val="0"/>
        <w:widowControl/>
        <w:suppressLineNumbers w:val="0"/>
        <w:spacing w:before="0" w:beforeAutospacing="0" w:after="240" w:afterAutospacing="0"/>
        <w:ind w:left="0" w:right="0"/>
        <w:jc w:val="left"/>
      </w:pPr>
    </w:p>
    <w:p>
      <w:pPr>
        <w:keepNext w:val="0"/>
        <w:keepLines w:val="0"/>
        <w:widowControl/>
        <w:suppressLineNumbers w:val="0"/>
        <w:pBdr>
          <w:top w:val="none" w:color="auto" w:sz="0" w:space="0"/>
        </w:pBdr>
        <w:spacing w:before="0" w:beforeAutospacing="0" w:after="15" w:afterAutospacing="0"/>
        <w:ind w:left="0" w:right="0"/>
        <w:jc w:val="left"/>
        <w:rPr>
          <w:sz w:val="27"/>
          <w:szCs w:val="27"/>
        </w:rPr>
      </w:pPr>
      <w:r>
        <w:rPr>
          <w:rFonts w:ascii="宋体" w:hAnsi="宋体" w:eastAsia="宋体" w:cs="宋体"/>
          <w:sz w:val="27"/>
          <w:szCs w:val="27"/>
        </w:rPr>
        <w:t xml:space="preserve">2） 简述消防控制室值班人员在此次火灾应急处置中存在的问题。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FF0000"/>
          <w:sz w:val="27"/>
          <w:szCs w:val="27"/>
        </w:rPr>
        <w:t>正确答案</w:t>
      </w:r>
      <w:r>
        <w:rPr>
          <w:rFonts w:ascii="宋体" w:hAnsi="宋体" w:eastAsia="宋体" w:cs="宋体"/>
          <w:sz w:val="27"/>
          <w:szCs w:val="27"/>
        </w:rPr>
        <w:t>】 火灾发生时，消防控制室的值班人员按照下列应急程序处置火灾：</w:t>
      </w:r>
      <w:r>
        <w:rPr>
          <w:rFonts w:ascii="宋体" w:hAnsi="宋体" w:eastAsia="宋体" w:cs="宋体"/>
          <w:sz w:val="27"/>
          <w:szCs w:val="27"/>
        </w:rPr>
        <w:br w:type="textWrapping"/>
      </w:r>
      <w:r>
        <w:rPr>
          <w:rFonts w:ascii="宋体" w:hAnsi="宋体" w:eastAsia="宋体" w:cs="宋体"/>
          <w:sz w:val="27"/>
          <w:szCs w:val="27"/>
        </w:rPr>
        <w:t>1）接到火灾警报后，值班人员立即以最快方式确认火灾。</w:t>
      </w:r>
      <w:r>
        <w:rPr>
          <w:rFonts w:ascii="宋体" w:hAnsi="宋体" w:eastAsia="宋体" w:cs="宋体"/>
          <w:sz w:val="27"/>
          <w:szCs w:val="27"/>
        </w:rPr>
        <w:br w:type="textWrapping"/>
      </w:r>
      <w:r>
        <w:rPr>
          <w:rFonts w:ascii="宋体" w:hAnsi="宋体" w:eastAsia="宋体" w:cs="宋体"/>
          <w:sz w:val="27"/>
          <w:szCs w:val="27"/>
        </w:rPr>
        <w:t>2）火灾确认后，值班人员立即确认火灾报警联动控制开关处于自动控制状态，同时拨打“119”报警电话准确报警；报警时需要说明着火单位地点、起火部位、着火物种类、火势大小、报警人姓名和联系电话等。</w:t>
      </w:r>
      <w:r>
        <w:rPr>
          <w:rFonts w:ascii="宋体" w:hAnsi="宋体" w:eastAsia="宋体" w:cs="宋体"/>
          <w:sz w:val="27"/>
          <w:szCs w:val="27"/>
        </w:rPr>
        <w:br w:type="textWrapping"/>
      </w:r>
      <w:r>
        <w:rPr>
          <w:rFonts w:ascii="宋体" w:hAnsi="宋体" w:eastAsia="宋体" w:cs="宋体"/>
          <w:sz w:val="27"/>
          <w:szCs w:val="27"/>
        </w:rPr>
        <w:t>3）值班人员立即启动单位应急疏散和初期火灾扑救灭火预案，同时报告单位消防安全负责人。</w:t>
      </w:r>
      <w:r>
        <w:rPr>
          <w:rFonts w:ascii="宋体" w:hAnsi="宋体" w:eastAsia="宋体" w:cs="宋体"/>
          <w:sz w:val="27"/>
          <w:szCs w:val="27"/>
        </w:rPr>
        <w:br w:type="textWrapping"/>
      </w:r>
      <w:r>
        <w:rPr>
          <w:rFonts w:ascii="宋体" w:hAnsi="宋体" w:eastAsia="宋体" w:cs="宋体"/>
          <w:sz w:val="27"/>
          <w:szCs w:val="27"/>
        </w:rPr>
        <w:t xml:space="preserve">而本案例中消防消防控制室（共2名值班人员）接到保安报警，向经理报告后，2人均赶往现场灭火；不符合规范要求。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006600"/>
          <w:sz w:val="27"/>
          <w:szCs w:val="27"/>
        </w:rPr>
        <w:t>答案解析</w:t>
      </w:r>
      <w:r>
        <w:rPr>
          <w:rFonts w:ascii="宋体" w:hAnsi="宋体" w:eastAsia="宋体" w:cs="宋体"/>
          <w:sz w:val="27"/>
          <w:szCs w:val="27"/>
        </w:rPr>
        <w:t xml:space="preserve">】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b/>
          <w:sz w:val="27"/>
          <w:szCs w:val="27"/>
        </w:rPr>
        <w:t>本题知识点：</w:t>
      </w:r>
      <w:r>
        <w:rPr>
          <w:rFonts w:ascii="宋体" w:hAnsi="宋体" w:eastAsia="宋体" w:cs="宋体"/>
          <w:sz w:val="27"/>
          <w:szCs w:val="27"/>
        </w:rPr>
        <w:t>消防安全重点单位灭火和应急疏散预案的演练</w:t>
      </w:r>
    </w:p>
    <w:p>
      <w:pPr>
        <w:keepNext w:val="0"/>
        <w:keepLines w:val="0"/>
        <w:widowControl/>
        <w:suppressLineNumbers w:val="0"/>
        <w:spacing w:before="0" w:beforeAutospacing="0" w:after="240" w:afterAutospacing="0"/>
        <w:ind w:left="0" w:right="0"/>
        <w:jc w:val="left"/>
      </w:pPr>
    </w:p>
    <w:p>
      <w:pPr>
        <w:keepNext w:val="0"/>
        <w:keepLines w:val="0"/>
        <w:widowControl/>
        <w:suppressLineNumbers w:val="0"/>
        <w:pBdr>
          <w:top w:val="none" w:color="auto" w:sz="0" w:space="0"/>
        </w:pBdr>
        <w:spacing w:before="0" w:beforeAutospacing="0" w:after="15" w:afterAutospacing="0"/>
        <w:ind w:left="0" w:right="0"/>
        <w:jc w:val="left"/>
        <w:rPr>
          <w:sz w:val="27"/>
          <w:szCs w:val="27"/>
        </w:rPr>
      </w:pPr>
      <w:r>
        <w:rPr>
          <w:rFonts w:ascii="宋体" w:hAnsi="宋体" w:eastAsia="宋体" w:cs="宋体"/>
          <w:sz w:val="27"/>
          <w:szCs w:val="27"/>
        </w:rPr>
        <w:t xml:space="preserve">3） 结合装修工人初起火处置行为，简述需要加强对装修工人消防安全教育培训的主要内容。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FF0000"/>
          <w:sz w:val="27"/>
          <w:szCs w:val="27"/>
        </w:rPr>
        <w:t>正确答案</w:t>
      </w:r>
      <w:r>
        <w:rPr>
          <w:rFonts w:ascii="宋体" w:hAnsi="宋体" w:eastAsia="宋体" w:cs="宋体"/>
          <w:sz w:val="27"/>
          <w:szCs w:val="27"/>
        </w:rPr>
        <w:t>】 施工人员进场前，施工现场的消防安全管理人员应向施工人员进行消防安全教育和培训。防火安全教育和培训应包括下列内容：</w:t>
      </w:r>
      <w:r>
        <w:rPr>
          <w:rFonts w:ascii="宋体" w:hAnsi="宋体" w:eastAsia="宋体" w:cs="宋体"/>
          <w:sz w:val="27"/>
          <w:szCs w:val="27"/>
        </w:rPr>
        <w:br w:type="textWrapping"/>
      </w:r>
      <w:r>
        <w:rPr>
          <w:rFonts w:ascii="宋体" w:hAnsi="宋体" w:eastAsia="宋体" w:cs="宋体"/>
          <w:sz w:val="27"/>
          <w:szCs w:val="27"/>
        </w:rPr>
        <w:t>1）施工现场消防安全管理制度、防火技术方案、灭火及应急疏散预案的主要内容；</w:t>
      </w:r>
      <w:r>
        <w:rPr>
          <w:rFonts w:ascii="宋体" w:hAnsi="宋体" w:eastAsia="宋体" w:cs="宋体"/>
          <w:sz w:val="27"/>
          <w:szCs w:val="27"/>
        </w:rPr>
        <w:br w:type="textWrapping"/>
      </w:r>
      <w:r>
        <w:rPr>
          <w:rFonts w:ascii="宋体" w:hAnsi="宋体" w:eastAsia="宋体" w:cs="宋体"/>
          <w:sz w:val="27"/>
          <w:szCs w:val="27"/>
        </w:rPr>
        <w:t>2）施工现场临时消防设施的性能及使用、维护方法；</w:t>
      </w:r>
      <w:r>
        <w:rPr>
          <w:rFonts w:ascii="宋体" w:hAnsi="宋体" w:eastAsia="宋体" w:cs="宋体"/>
          <w:sz w:val="27"/>
          <w:szCs w:val="27"/>
        </w:rPr>
        <w:br w:type="textWrapping"/>
      </w:r>
      <w:r>
        <w:rPr>
          <w:rFonts w:ascii="宋体" w:hAnsi="宋体" w:eastAsia="宋体" w:cs="宋体"/>
          <w:sz w:val="27"/>
          <w:szCs w:val="27"/>
        </w:rPr>
        <w:t>3）扑灭初起火灾及自救逃生的知识和技能；</w:t>
      </w:r>
      <w:r>
        <w:rPr>
          <w:rFonts w:ascii="宋体" w:hAnsi="宋体" w:eastAsia="宋体" w:cs="宋体"/>
          <w:sz w:val="27"/>
          <w:szCs w:val="27"/>
        </w:rPr>
        <w:br w:type="textWrapping"/>
      </w:r>
      <w:r>
        <w:rPr>
          <w:rFonts w:ascii="宋体" w:hAnsi="宋体" w:eastAsia="宋体" w:cs="宋体"/>
          <w:sz w:val="27"/>
          <w:szCs w:val="27"/>
        </w:rPr>
        <w:t>4）报火警、接警的程序和方法。</w:t>
      </w:r>
      <w:r>
        <w:rPr>
          <w:rFonts w:ascii="宋体" w:hAnsi="宋体" w:eastAsia="宋体" w:cs="宋体"/>
          <w:sz w:val="27"/>
          <w:szCs w:val="27"/>
        </w:rPr>
        <w:br w:type="textWrapping"/>
      </w:r>
      <w:r>
        <w:rPr>
          <w:rFonts w:ascii="宋体" w:hAnsi="宋体" w:eastAsia="宋体" w:cs="宋体"/>
          <w:sz w:val="27"/>
          <w:szCs w:val="27"/>
        </w:rPr>
        <w:t>现场施工动火作业人员必须经过消防培训并持证上岗。</w:t>
      </w:r>
      <w:r>
        <w:rPr>
          <w:rFonts w:ascii="宋体" w:hAnsi="宋体" w:eastAsia="宋体" w:cs="宋体"/>
          <w:sz w:val="27"/>
          <w:szCs w:val="27"/>
        </w:rPr>
        <w:br w:type="textWrapping"/>
      </w:r>
      <w:r>
        <w:rPr>
          <w:rFonts w:ascii="宋体" w:hAnsi="宋体" w:eastAsia="宋体" w:cs="宋体"/>
          <w:sz w:val="27"/>
          <w:szCs w:val="27"/>
        </w:rPr>
        <w:t>必须按照大厦管理规定开具动火作业证并按照相关动火作业规定严格执行，作业防火监督看护人员必须到位，现场应予清理可燃物等，现场应按规定设置合适的灭火器材。</w:t>
      </w:r>
      <w:r>
        <w:rPr>
          <w:rFonts w:ascii="宋体" w:hAnsi="宋体" w:eastAsia="宋体" w:cs="宋体"/>
          <w:sz w:val="27"/>
          <w:szCs w:val="27"/>
        </w:rPr>
        <w:br w:type="textWrapping"/>
      </w:r>
      <w:r>
        <w:rPr>
          <w:rFonts w:ascii="宋体" w:hAnsi="宋体" w:eastAsia="宋体" w:cs="宋体"/>
          <w:sz w:val="27"/>
          <w:szCs w:val="27"/>
        </w:rPr>
        <w:t>施工人员要熟悉现场灭火救援设施的情况和使用方法。</w:t>
      </w:r>
      <w:r>
        <w:rPr>
          <w:rFonts w:ascii="宋体" w:hAnsi="宋体" w:eastAsia="宋体" w:cs="宋体"/>
          <w:sz w:val="27"/>
          <w:szCs w:val="27"/>
        </w:rPr>
        <w:br w:type="textWrapping"/>
      </w:r>
      <w:r>
        <w:rPr>
          <w:rFonts w:ascii="宋体" w:hAnsi="宋体" w:eastAsia="宋体" w:cs="宋体"/>
          <w:sz w:val="27"/>
          <w:szCs w:val="27"/>
        </w:rPr>
        <w:t xml:space="preserve">装修场所防火检查巡查疏散培训。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006600"/>
          <w:sz w:val="27"/>
          <w:szCs w:val="27"/>
        </w:rPr>
        <w:t>答案解析</w:t>
      </w:r>
      <w:r>
        <w:rPr>
          <w:rFonts w:ascii="宋体" w:hAnsi="宋体" w:eastAsia="宋体" w:cs="宋体"/>
          <w:sz w:val="27"/>
          <w:szCs w:val="27"/>
        </w:rPr>
        <w:t xml:space="preserve">】 综合教材第五篇第五章第五节。（2015年真题）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b/>
          <w:sz w:val="27"/>
          <w:szCs w:val="27"/>
        </w:rPr>
        <w:t>本题知识点：</w:t>
      </w:r>
      <w:r>
        <w:rPr>
          <w:rFonts w:ascii="宋体" w:hAnsi="宋体" w:eastAsia="宋体" w:cs="宋体"/>
          <w:sz w:val="27"/>
          <w:szCs w:val="27"/>
        </w:rPr>
        <w:t>施工现场员工消防安全教育培训和演练的要求</w:t>
      </w:r>
    </w:p>
    <w:p>
      <w:pPr>
        <w:keepNext w:val="0"/>
        <w:keepLines w:val="0"/>
        <w:widowControl/>
        <w:suppressLineNumbers w:val="0"/>
        <w:spacing w:before="0" w:beforeAutospacing="0" w:after="240" w:afterAutospacing="0"/>
        <w:ind w:left="0" w:right="0"/>
        <w:jc w:val="left"/>
      </w:pPr>
    </w:p>
    <w:p>
      <w:pPr>
        <w:keepNext w:val="0"/>
        <w:keepLines w:val="0"/>
        <w:widowControl/>
        <w:suppressLineNumbers w:val="0"/>
        <w:pBdr>
          <w:top w:val="none" w:color="auto" w:sz="0" w:space="0"/>
        </w:pBdr>
        <w:spacing w:before="0" w:beforeAutospacing="0" w:after="15" w:afterAutospacing="0"/>
        <w:ind w:left="0" w:right="0"/>
        <w:jc w:val="left"/>
        <w:rPr>
          <w:sz w:val="27"/>
          <w:szCs w:val="27"/>
        </w:rPr>
      </w:pPr>
      <w:r>
        <w:rPr>
          <w:rFonts w:ascii="宋体" w:hAnsi="宋体" w:eastAsia="宋体" w:cs="宋体"/>
          <w:sz w:val="27"/>
          <w:szCs w:val="27"/>
        </w:rPr>
        <w:t xml:space="preserve">4） 指出起火点装修现场存在的火灾隐患。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FF0000"/>
          <w:sz w:val="27"/>
          <w:szCs w:val="27"/>
        </w:rPr>
        <w:t>正确答案</w:t>
      </w:r>
      <w:r>
        <w:rPr>
          <w:rFonts w:ascii="宋体" w:hAnsi="宋体" w:eastAsia="宋体" w:cs="宋体"/>
          <w:sz w:val="27"/>
          <w:szCs w:val="27"/>
        </w:rPr>
        <w:t>】 施工装修现场应采取不燃材料进行隔离，而本案例中使用木质胶合板与相邻区域隔离，一旦发生火灾非常危险不符相关规定；</w:t>
      </w:r>
      <w:r>
        <w:rPr>
          <w:rFonts w:ascii="宋体" w:hAnsi="宋体" w:eastAsia="宋体" w:cs="宋体"/>
          <w:sz w:val="27"/>
          <w:szCs w:val="27"/>
        </w:rPr>
        <w:br w:type="textWrapping"/>
      </w:r>
      <w:r>
        <w:rPr>
          <w:rFonts w:ascii="宋体" w:hAnsi="宋体" w:eastAsia="宋体" w:cs="宋体"/>
          <w:sz w:val="27"/>
          <w:szCs w:val="27"/>
        </w:rPr>
        <w:t>同时现场无序堆放了大量的木质装修材料、油漆及有机溶剂等，完全不符合动火作业现场要求；</w:t>
      </w:r>
      <w:r>
        <w:rPr>
          <w:rFonts w:ascii="宋体" w:hAnsi="宋体" w:eastAsia="宋体" w:cs="宋体"/>
          <w:sz w:val="27"/>
          <w:szCs w:val="27"/>
        </w:rPr>
        <w:br w:type="textWrapping"/>
      </w:r>
      <w:r>
        <w:rPr>
          <w:rFonts w:ascii="宋体" w:hAnsi="宋体" w:eastAsia="宋体" w:cs="宋体"/>
          <w:sz w:val="27"/>
          <w:szCs w:val="27"/>
        </w:rPr>
        <w:t>现场的火灾探测器因频繁误报在火灾报警勘测器上屏蔽这样该区域报警系统处于瘫痪状态，二层的自动喷水灭火系统配水管控制阀因喷头漏水被关闭，消防自动灭火设施不起作用，作为施工和物业管理均应采取措施强化该区域的防火安全管理措施，从人员和灭火器上要做重点布局；</w:t>
      </w:r>
      <w:r>
        <w:rPr>
          <w:rFonts w:ascii="宋体" w:hAnsi="宋体" w:eastAsia="宋体" w:cs="宋体"/>
          <w:sz w:val="27"/>
          <w:szCs w:val="27"/>
        </w:rPr>
        <w:br w:type="textWrapping"/>
      </w:r>
      <w:r>
        <w:rPr>
          <w:rFonts w:ascii="宋体" w:hAnsi="宋体" w:eastAsia="宋体" w:cs="宋体"/>
          <w:sz w:val="27"/>
          <w:szCs w:val="27"/>
        </w:rPr>
        <w:t xml:space="preserve">动火现场安全监护人员脱岗，完全违反动火作业操作规程。施工现场管理混乱消防安全管理完全失控状态。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006600"/>
          <w:sz w:val="27"/>
          <w:szCs w:val="27"/>
        </w:rPr>
        <w:t>答案解析</w:t>
      </w:r>
      <w:r>
        <w:rPr>
          <w:rFonts w:ascii="宋体" w:hAnsi="宋体" w:eastAsia="宋体" w:cs="宋体"/>
          <w:sz w:val="27"/>
          <w:szCs w:val="27"/>
        </w:rPr>
        <w:t xml:space="preserve">】 综合教材第五篇第五章第五节。（2015年真题）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b/>
          <w:sz w:val="27"/>
          <w:szCs w:val="27"/>
        </w:rPr>
        <w:t>本题知识点：</w:t>
      </w:r>
      <w:r>
        <w:rPr>
          <w:rFonts w:ascii="宋体" w:hAnsi="宋体" w:eastAsia="宋体" w:cs="宋体"/>
          <w:sz w:val="27"/>
          <w:szCs w:val="27"/>
        </w:rPr>
        <w:t>施工现场员工消防安全教育培训和演练的要求</w:t>
      </w:r>
    </w:p>
    <w:p>
      <w:pPr>
        <w:keepNext w:val="0"/>
        <w:keepLines w:val="0"/>
        <w:widowControl/>
        <w:suppressLineNumbers w:val="0"/>
        <w:spacing w:before="0" w:beforeAutospacing="0" w:after="240" w:afterAutospacing="0"/>
        <w:ind w:left="0" w:right="0"/>
        <w:jc w:val="left"/>
      </w:pPr>
    </w:p>
    <w:p>
      <w:pPr>
        <w:keepNext w:val="0"/>
        <w:keepLines w:val="0"/>
        <w:widowControl/>
        <w:suppressLineNumbers w:val="0"/>
        <w:pBdr>
          <w:top w:val="none" w:color="auto" w:sz="0" w:space="0"/>
        </w:pBdr>
        <w:spacing w:before="0" w:beforeAutospacing="0" w:after="15" w:afterAutospacing="0"/>
        <w:ind w:left="0" w:right="0"/>
        <w:jc w:val="left"/>
        <w:rPr>
          <w:sz w:val="27"/>
          <w:szCs w:val="27"/>
        </w:rPr>
      </w:pPr>
      <w:r>
        <w:rPr>
          <w:rFonts w:ascii="宋体" w:hAnsi="宋体" w:eastAsia="宋体" w:cs="宋体"/>
          <w:sz w:val="27"/>
          <w:szCs w:val="27"/>
        </w:rPr>
        <w:t xml:space="preserve">5） 简析物业管理公司在防火巡查、防火检查及火灾隐患整改过程中存在的问题。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FF0000"/>
          <w:sz w:val="27"/>
          <w:szCs w:val="27"/>
        </w:rPr>
        <w:t>正确答案</w:t>
      </w:r>
      <w:r>
        <w:rPr>
          <w:rFonts w:ascii="宋体" w:hAnsi="宋体" w:eastAsia="宋体" w:cs="宋体"/>
          <w:sz w:val="27"/>
          <w:szCs w:val="27"/>
        </w:rPr>
        <w:t>】 消防安全重点单位应当进行每日防火巡查，并确定巡查的人员、内容、部位和频次。</w:t>
      </w:r>
      <w:r>
        <w:rPr>
          <w:rFonts w:ascii="宋体" w:hAnsi="宋体" w:eastAsia="宋体" w:cs="宋体"/>
          <w:sz w:val="27"/>
          <w:szCs w:val="27"/>
        </w:rPr>
        <w:br w:type="textWrapping"/>
      </w:r>
      <w:r>
        <w:rPr>
          <w:rFonts w:ascii="宋体" w:hAnsi="宋体" w:eastAsia="宋体" w:cs="宋体"/>
          <w:sz w:val="27"/>
          <w:szCs w:val="27"/>
        </w:rPr>
        <w:t>其他单位可以根据需要组织防火巡查。</w:t>
      </w:r>
      <w:r>
        <w:rPr>
          <w:rFonts w:ascii="宋体" w:hAnsi="宋体" w:eastAsia="宋体" w:cs="宋体"/>
          <w:sz w:val="27"/>
          <w:szCs w:val="27"/>
        </w:rPr>
        <w:br w:type="textWrapping"/>
      </w:r>
      <w:r>
        <w:rPr>
          <w:rFonts w:ascii="宋体" w:hAnsi="宋体" w:eastAsia="宋体" w:cs="宋体"/>
          <w:sz w:val="27"/>
          <w:szCs w:val="27"/>
        </w:rPr>
        <w:t>公众聚集场所在营业期间的防火巡查应当至少每二小时一次；</w:t>
      </w:r>
      <w:r>
        <w:rPr>
          <w:rFonts w:ascii="宋体" w:hAnsi="宋体" w:eastAsia="宋体" w:cs="宋体"/>
          <w:sz w:val="27"/>
          <w:szCs w:val="27"/>
        </w:rPr>
        <w:br w:type="textWrapping"/>
      </w:r>
      <w:r>
        <w:rPr>
          <w:rFonts w:ascii="宋体" w:hAnsi="宋体" w:eastAsia="宋体" w:cs="宋体"/>
          <w:sz w:val="27"/>
          <w:szCs w:val="27"/>
        </w:rPr>
        <w:t>营业结束时应当对营业现场进行检查，消除遗留火种。</w:t>
      </w:r>
      <w:r>
        <w:rPr>
          <w:rFonts w:ascii="宋体" w:hAnsi="宋体" w:eastAsia="宋体" w:cs="宋体"/>
          <w:sz w:val="27"/>
          <w:szCs w:val="27"/>
        </w:rPr>
        <w:br w:type="textWrapping"/>
      </w:r>
      <w:r>
        <w:rPr>
          <w:rFonts w:ascii="宋体" w:hAnsi="宋体" w:eastAsia="宋体" w:cs="宋体"/>
          <w:sz w:val="27"/>
          <w:szCs w:val="27"/>
        </w:rPr>
        <w:t>医院、养老院、寄宿制的学校、托儿所、幼儿园应当加强夜间防火巡查，其他消防安全重点单位可以结合实际组织夜间防火巡查。</w:t>
      </w:r>
      <w:r>
        <w:rPr>
          <w:rFonts w:ascii="宋体" w:hAnsi="宋体" w:eastAsia="宋体" w:cs="宋体"/>
          <w:sz w:val="27"/>
          <w:szCs w:val="27"/>
        </w:rPr>
        <w:br w:type="textWrapping"/>
      </w:r>
      <w:r>
        <w:rPr>
          <w:rFonts w:ascii="宋体" w:hAnsi="宋体" w:eastAsia="宋体" w:cs="宋体"/>
          <w:sz w:val="27"/>
          <w:szCs w:val="27"/>
        </w:rPr>
        <w:t>机关、团体、事业单位应当至少每季度进行一次防火检查，其他单位应当至少每月进行一次防火检查。</w:t>
      </w:r>
      <w:r>
        <w:rPr>
          <w:rFonts w:ascii="宋体" w:hAnsi="宋体" w:eastAsia="宋体" w:cs="宋体"/>
          <w:sz w:val="27"/>
          <w:szCs w:val="27"/>
        </w:rPr>
        <w:br w:type="textWrapping"/>
      </w:r>
      <w:r>
        <w:rPr>
          <w:rFonts w:ascii="宋体" w:hAnsi="宋体" w:eastAsia="宋体" w:cs="宋体"/>
          <w:sz w:val="27"/>
          <w:szCs w:val="27"/>
        </w:rPr>
        <w:t>消防设施、器材应当依法进行维修保养检测。</w:t>
      </w:r>
      <w:r>
        <w:rPr>
          <w:rFonts w:ascii="宋体" w:hAnsi="宋体" w:eastAsia="宋体" w:cs="宋体"/>
          <w:sz w:val="27"/>
          <w:szCs w:val="27"/>
        </w:rPr>
        <w:br w:type="textWrapping"/>
      </w:r>
      <w:r>
        <w:rPr>
          <w:rFonts w:ascii="宋体" w:hAnsi="宋体" w:eastAsia="宋体" w:cs="宋体"/>
          <w:sz w:val="27"/>
          <w:szCs w:val="27"/>
        </w:rPr>
        <w:t>对发现的火灾隐患要按照规定及时、坚决的整改。</w:t>
      </w:r>
      <w:r>
        <w:rPr>
          <w:rFonts w:ascii="宋体" w:hAnsi="宋体" w:eastAsia="宋体" w:cs="宋体"/>
          <w:sz w:val="27"/>
          <w:szCs w:val="27"/>
        </w:rPr>
        <w:br w:type="textWrapping"/>
      </w:r>
      <w:r>
        <w:rPr>
          <w:rFonts w:ascii="宋体" w:hAnsi="宋体" w:eastAsia="宋体" w:cs="宋体"/>
          <w:sz w:val="27"/>
          <w:szCs w:val="27"/>
        </w:rPr>
        <w:t>防火档案记载，保安在营业期间每3小时防火巡查1词，防火巡查记录均为“正常”，违反了现场巡查至少每2小时进行一次的要求；对于探头屏蔽和喷淋系统关闭未在每班做记录，说明巡查人员不知道消防巡查岗位职责或不执行消防巡查岗位职责。</w:t>
      </w:r>
      <w:r>
        <w:rPr>
          <w:rFonts w:ascii="宋体" w:hAnsi="宋体" w:eastAsia="宋体" w:cs="宋体"/>
          <w:sz w:val="27"/>
          <w:szCs w:val="27"/>
        </w:rPr>
        <w:br w:type="textWrapping"/>
      </w:r>
      <w:r>
        <w:rPr>
          <w:rFonts w:ascii="宋体" w:hAnsi="宋体" w:eastAsia="宋体" w:cs="宋体"/>
          <w:sz w:val="27"/>
          <w:szCs w:val="27"/>
        </w:rPr>
        <w:t xml:space="preserve">火灾前52天进行防火检查没有执行火灾检查至少每月进行一次的规定。虽然载录了商业区存在“楼梯间防火门水泵阀”、“有的商铺装修现场管理混乱，无消防安全防护措施”、“二层多个商铺装修现场火灾探测器误报，喷头损坏漏水”等3项火灾隐患。但是52天过去，对火灾检查中发现的火灾隐患问题均未及时整改落实。违反消防安全管理规定。应予追究。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006600"/>
          <w:sz w:val="27"/>
          <w:szCs w:val="27"/>
        </w:rPr>
        <w:t>答案解析</w:t>
      </w:r>
      <w:r>
        <w:rPr>
          <w:rFonts w:ascii="宋体" w:hAnsi="宋体" w:eastAsia="宋体" w:cs="宋体"/>
          <w:sz w:val="27"/>
          <w:szCs w:val="27"/>
        </w:rPr>
        <w:t xml:space="preserve">】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b/>
          <w:sz w:val="27"/>
          <w:szCs w:val="27"/>
        </w:rPr>
        <w:t>本题知识点：</w:t>
      </w:r>
      <w:r>
        <w:rPr>
          <w:rFonts w:ascii="宋体" w:hAnsi="宋体" w:eastAsia="宋体" w:cs="宋体"/>
          <w:sz w:val="27"/>
          <w:szCs w:val="27"/>
        </w:rPr>
        <w:t>火灾隐患的整改要求</w:t>
      </w:r>
    </w:p>
    <w:p>
      <w:pPr>
        <w:keepNext w:val="0"/>
        <w:keepLines w:val="0"/>
        <w:widowControl/>
        <w:suppressLineNumbers w:val="0"/>
        <w:spacing w:before="0" w:beforeAutospacing="0" w:after="240" w:afterAutospacing="0"/>
        <w:ind w:left="0" w:right="0"/>
        <w:jc w:val="left"/>
      </w:pPr>
    </w:p>
    <w:p>
      <w:pPr>
        <w:keepNext w:val="0"/>
        <w:keepLines w:val="0"/>
        <w:widowControl/>
        <w:suppressLineNumbers w:val="0"/>
        <w:jc w:val="left"/>
      </w:pP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3. 某单层木器厂房为砖木结构，屋顶承重构件为难燃性构件，耐火极限为0.5h，柱子采用不燃性构件，耐火极限为2.50h。木器厂房建筑面积约为4500m2，其总平布局和平面布置如图2所示：木器厂房周边的建筑，面向木器厂房一侧的外墙上均设有门和窗。该木器厂房采用流水线连续生产，工艺不允许设置隔墙。</w:t>
      </w:r>
      <w:r>
        <w:rPr>
          <w:rFonts w:ascii="宋体" w:hAnsi="宋体" w:eastAsia="宋体" w:cs="宋体"/>
          <w:sz w:val="27"/>
          <w:szCs w:val="27"/>
        </w:rPr>
        <w:br w:type="textWrapping"/>
      </w:r>
      <w:r>
        <w:rPr>
          <w:rFonts w:ascii="宋体" w:hAnsi="宋体" w:eastAsia="宋体" w:cs="宋体"/>
          <w:sz w:val="27"/>
          <w:szCs w:val="27"/>
        </w:rPr>
        <w:t>厂房内东侧设有筑面积500m2的办公、休息区，采用耐火极限2.50h的防火隔墙与车间分隔，防火隔墙上没有双扇弹簧门：南侧分别设有建筑面积为150m2的油漆工段（采用封闭喷漆工艺）和50m2的中间仓库，中间仓库内储存3昼夜喷漆生产需要量的油漆、稀释剂（甲苯和香蕉水，C=0.11），采用防火墙与其他部位分隔，油漆工段通向车间的防火墙上设有双扇弹簧门。该厂房设置了消防给水及室内消火栓系统。建筑灭火器、排烟设施和应急照明及疏散指示标志。</w:t>
      </w:r>
      <w:r>
        <w:rPr>
          <w:rFonts w:ascii="宋体" w:hAnsi="宋体" w:eastAsia="宋体" w:cs="宋体"/>
          <w:sz w:val="27"/>
          <w:szCs w:val="27"/>
        </w:rPr>
        <w:br w:type="textWrapping"/>
      </w:r>
      <w:r>
        <w:rPr>
          <w:rFonts w:ascii="宋体" w:hAnsi="宋体" w:eastAsia="宋体" w:cs="宋体"/>
          <w:sz w:val="27"/>
          <w:szCs w:val="27"/>
        </w:rPr>
        <w:t xml:space="preserve">根据以上材料，回答问题：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b/>
          <w:sz w:val="27"/>
          <w:szCs w:val="27"/>
        </w:rPr>
        <w:t>本题知识点：</w:t>
      </w:r>
      <w:r>
        <w:rPr>
          <w:rFonts w:ascii="宋体" w:hAnsi="宋体" w:eastAsia="宋体" w:cs="宋体"/>
          <w:sz w:val="27"/>
          <w:szCs w:val="27"/>
        </w:rPr>
        <w:t xml:space="preserve">厂房、仓库的防火间距计算,厂房内办公室、休息室及中间仓库布置要求,厂房防爆要求, </w:t>
      </w:r>
    </w:p>
    <w:p>
      <w:pPr>
        <w:keepNext w:val="0"/>
        <w:keepLines w:val="0"/>
        <w:widowControl/>
        <w:suppressLineNumbers w:val="0"/>
        <w:pBdr>
          <w:top w:val="none" w:color="auto" w:sz="0" w:space="0"/>
        </w:pBdr>
        <w:spacing w:before="0" w:beforeAutospacing="0" w:after="15" w:afterAutospacing="0"/>
        <w:ind w:left="0" w:right="0"/>
        <w:jc w:val="left"/>
        <w:rPr>
          <w:sz w:val="27"/>
          <w:szCs w:val="27"/>
        </w:rPr>
      </w:pPr>
      <w:r>
        <w:rPr>
          <w:rFonts w:ascii="宋体" w:hAnsi="宋体" w:eastAsia="宋体" w:cs="宋体"/>
          <w:sz w:val="27"/>
          <w:szCs w:val="27"/>
        </w:rPr>
        <w:t xml:space="preserve">1） 检查防火间距，消防车道是否符合消防安全规定，提出防火间距不足时可采取的相应技术措施。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FF0000"/>
          <w:sz w:val="27"/>
          <w:szCs w:val="27"/>
        </w:rPr>
        <w:t>正确答案</w:t>
      </w:r>
      <w:r>
        <w:rPr>
          <w:rFonts w:ascii="宋体" w:hAnsi="宋体" w:eastAsia="宋体" w:cs="宋体"/>
          <w:sz w:val="27"/>
          <w:szCs w:val="27"/>
        </w:rPr>
        <w:t>】 1）单层木器厂房，一般判定为耐火等级三级。木器厂房与锅炉房之间的防火间距为12m不符合要求。2）该木器厂房与金属抛光厂房之间的间距为12m不符合要求。其余的均符合规范要求。</w:t>
      </w:r>
      <w:r>
        <w:rPr>
          <w:rFonts w:ascii="宋体" w:hAnsi="宋体" w:eastAsia="宋体" w:cs="宋体"/>
          <w:sz w:val="27"/>
          <w:szCs w:val="27"/>
        </w:rPr>
        <w:br w:type="textWrapping"/>
      </w:r>
      <w:r>
        <w:rPr>
          <w:rFonts w:ascii="宋体" w:hAnsi="宋体" w:eastAsia="宋体" w:cs="宋体"/>
          <w:sz w:val="27"/>
          <w:szCs w:val="27"/>
        </w:rPr>
        <w:t xml:space="preserve">2）检查消防车道是否符合消防安全规定。本案例设置了环形消防车道，根据实际厂房面积比例大约为90×50的长宽比，占地面积大于3000m²的甲、乙、丙类厂房，应设置环形消防车道。情景中该厂房占地面积大于4500m²应设环形消防车道，实际已设置环形消防车道，满足规范要求。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006600"/>
          <w:sz w:val="27"/>
          <w:szCs w:val="27"/>
        </w:rPr>
        <w:t>答案解析</w:t>
      </w:r>
      <w:r>
        <w:rPr>
          <w:rFonts w:ascii="宋体" w:hAnsi="宋体" w:eastAsia="宋体" w:cs="宋体"/>
          <w:sz w:val="27"/>
          <w:szCs w:val="27"/>
        </w:rPr>
        <w:t xml:space="preserve">】 实务教材第二篇第四章第二节。（2015年真题）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b/>
          <w:sz w:val="27"/>
          <w:szCs w:val="27"/>
        </w:rPr>
        <w:t>本题知识点：</w:t>
      </w:r>
      <w:r>
        <w:rPr>
          <w:rFonts w:ascii="宋体" w:hAnsi="宋体" w:eastAsia="宋体" w:cs="宋体"/>
          <w:sz w:val="27"/>
          <w:szCs w:val="27"/>
        </w:rPr>
        <w:t>厂房、仓库的防火间距计算</w:t>
      </w:r>
    </w:p>
    <w:p>
      <w:pPr>
        <w:keepNext w:val="0"/>
        <w:keepLines w:val="0"/>
        <w:widowControl/>
        <w:suppressLineNumbers w:val="0"/>
        <w:spacing w:before="0" w:beforeAutospacing="0" w:after="240" w:afterAutospacing="0"/>
        <w:ind w:left="0" w:right="0"/>
        <w:jc w:val="left"/>
      </w:pPr>
    </w:p>
    <w:p>
      <w:pPr>
        <w:keepNext w:val="0"/>
        <w:keepLines w:val="0"/>
        <w:widowControl/>
        <w:suppressLineNumbers w:val="0"/>
        <w:pBdr>
          <w:top w:val="none" w:color="auto" w:sz="0" w:space="0"/>
        </w:pBdr>
        <w:spacing w:before="0" w:beforeAutospacing="0" w:after="15" w:afterAutospacing="0"/>
        <w:ind w:left="0" w:right="0"/>
        <w:jc w:val="left"/>
        <w:rPr>
          <w:sz w:val="27"/>
          <w:szCs w:val="27"/>
        </w:rPr>
      </w:pPr>
      <w:r>
        <w:rPr>
          <w:rFonts w:ascii="宋体" w:hAnsi="宋体" w:eastAsia="宋体" w:cs="宋体"/>
          <w:sz w:val="27"/>
          <w:szCs w:val="27"/>
        </w:rPr>
        <w:t xml:space="preserve">2） 简析厂房平面布置和油漆工段存在的消防安全问题，并提出整改意见。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FF0000"/>
          <w:sz w:val="27"/>
          <w:szCs w:val="27"/>
        </w:rPr>
        <w:t>正确答案</w:t>
      </w:r>
      <w:r>
        <w:rPr>
          <w:rFonts w:ascii="宋体" w:hAnsi="宋体" w:eastAsia="宋体" w:cs="宋体"/>
          <w:sz w:val="27"/>
          <w:szCs w:val="27"/>
        </w:rPr>
        <w:t>】 1)厂房内东侧设有筑面积500m2的办公、休息区，采用耐火极限2.50h的防火隔墙与车间分隔，防火隔墙上设有双扇弹簧门，而根据教材实务：在丙类厂房内设置的办公室、休息室，应采用耐火极限不低于2.50h的不燃烧体隔墙和1.00h的楼板与厂房隔开，并应至少设置1个独立的安全出口。如隔墙上需开设相互连通的门时，应采用乙级防火门。本情景描述中的承重构件是难燃烧体0.5h，需要改造为不燃性承重构件耐火极限1.0h顶也需要改造为不燃烧体耐火极限1.00h，隔墙上开设相互连通的门应采用乙级防火门。</w:t>
      </w:r>
      <w:r>
        <w:rPr>
          <w:rFonts w:ascii="宋体" w:hAnsi="宋体" w:eastAsia="宋体" w:cs="宋体"/>
          <w:sz w:val="27"/>
          <w:szCs w:val="27"/>
        </w:rPr>
        <w:br w:type="textWrapping"/>
      </w:r>
      <w:r>
        <w:rPr>
          <w:rFonts w:ascii="宋体" w:hAnsi="宋体" w:eastAsia="宋体" w:cs="宋体"/>
          <w:sz w:val="27"/>
          <w:szCs w:val="27"/>
        </w:rPr>
        <w:t xml:space="preserve">2）设建筑面积为150m²的油漆工段（采用封闭喷漆工艺）油漆工段通向车间的防火墙上设有双扇弹簧门，油漆工段与车间分隔的防火墙上不应开设门窗洞口，确需开设时，应设置不可开启或火灾时能自动关闭的甲级防火门窗。封闭喷漆空间内应保持负压、油漆工段设置可燃气体探测报警系统或者自动抑爆系统，油漆工段通向车间的防火墙应修改为甲级防火门。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006600"/>
          <w:sz w:val="27"/>
          <w:szCs w:val="27"/>
        </w:rPr>
        <w:t>答案解析</w:t>
      </w:r>
      <w:r>
        <w:rPr>
          <w:rFonts w:ascii="宋体" w:hAnsi="宋体" w:eastAsia="宋体" w:cs="宋体"/>
          <w:sz w:val="27"/>
          <w:szCs w:val="27"/>
        </w:rPr>
        <w:t xml:space="preserve">】 《建筑设计防火规范》3.3.5。（2015年真题）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b/>
          <w:sz w:val="27"/>
          <w:szCs w:val="27"/>
        </w:rPr>
        <w:t>本题知识点：</w:t>
      </w:r>
      <w:r>
        <w:rPr>
          <w:rFonts w:ascii="宋体" w:hAnsi="宋体" w:eastAsia="宋体" w:cs="宋体"/>
          <w:sz w:val="27"/>
          <w:szCs w:val="27"/>
        </w:rPr>
        <w:t>厂房内办公室、休息室及中间仓库布置要求</w:t>
      </w:r>
    </w:p>
    <w:p>
      <w:pPr>
        <w:keepNext w:val="0"/>
        <w:keepLines w:val="0"/>
        <w:widowControl/>
        <w:suppressLineNumbers w:val="0"/>
        <w:spacing w:before="0" w:beforeAutospacing="0" w:after="240" w:afterAutospacing="0"/>
        <w:ind w:left="0" w:right="0"/>
        <w:jc w:val="left"/>
      </w:pPr>
    </w:p>
    <w:p>
      <w:pPr>
        <w:keepNext w:val="0"/>
        <w:keepLines w:val="0"/>
        <w:widowControl/>
        <w:suppressLineNumbers w:val="0"/>
        <w:pBdr>
          <w:top w:val="none" w:color="auto" w:sz="0" w:space="0"/>
        </w:pBdr>
        <w:spacing w:before="0" w:beforeAutospacing="0" w:after="15" w:afterAutospacing="0"/>
        <w:ind w:left="0" w:right="0"/>
        <w:jc w:val="left"/>
        <w:rPr>
          <w:sz w:val="27"/>
          <w:szCs w:val="27"/>
        </w:rPr>
      </w:pPr>
      <w:r>
        <w:rPr>
          <w:rFonts w:ascii="宋体" w:hAnsi="宋体" w:eastAsia="宋体" w:cs="宋体"/>
          <w:sz w:val="27"/>
          <w:szCs w:val="27"/>
        </w:rPr>
        <w:t xml:space="preserve">3） 计算油漆工段的泄压面积。并分析利用外窗作泄压面的可行性。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FF0000"/>
          <w:sz w:val="27"/>
          <w:szCs w:val="27"/>
        </w:rPr>
        <w:t>正确答案</w:t>
      </w:r>
      <w:r>
        <w:rPr>
          <w:rFonts w:ascii="宋体" w:hAnsi="宋体" w:eastAsia="宋体" w:cs="宋体"/>
          <w:sz w:val="27"/>
          <w:szCs w:val="27"/>
        </w:rPr>
        <w:t>】 1）先计算长径比：（长径比为建筑平面几何外形尺寸中的最长尺寸与其横截面周长的积和4.0倍的该建筑横截面积之比。）（实务教材第二篇第八章第三节）</w:t>
      </w:r>
      <w:r>
        <w:rPr>
          <w:rFonts w:ascii="宋体" w:hAnsi="宋体" w:eastAsia="宋体" w:cs="宋体"/>
          <w:sz w:val="27"/>
          <w:szCs w:val="27"/>
        </w:rPr>
        <w:br w:type="textWrapping"/>
      </w:r>
      <w:r>
        <w:rPr>
          <w:rFonts w:ascii="宋体" w:hAnsi="宋体" w:eastAsia="宋体" w:cs="宋体"/>
          <w:sz w:val="27"/>
          <w:szCs w:val="27"/>
        </w:rPr>
        <w:t>油漆工段长×宽×高=15×10×5</w:t>
      </w:r>
      <w:r>
        <w:rPr>
          <w:rFonts w:ascii="宋体" w:hAnsi="宋体" w:eastAsia="宋体" w:cs="宋体"/>
          <w:sz w:val="27"/>
          <w:szCs w:val="27"/>
        </w:rPr>
        <w:br w:type="textWrapping"/>
      </w:r>
      <w:r>
        <w:rPr>
          <w:rFonts w:ascii="宋体" w:hAnsi="宋体" w:eastAsia="宋体" w:cs="宋体"/>
          <w:sz w:val="27"/>
          <w:szCs w:val="27"/>
        </w:rPr>
        <w:t>15×（10+5+10+5）/4×10×5=2.25小于3，统分为一段即可。</w:t>
      </w:r>
      <w:r>
        <w:rPr>
          <w:rFonts w:ascii="宋体" w:hAnsi="宋体" w:eastAsia="宋体" w:cs="宋体"/>
          <w:sz w:val="27"/>
          <w:szCs w:val="27"/>
        </w:rPr>
        <w:br w:type="textWrapping"/>
      </w:r>
      <w:r>
        <w:rPr>
          <w:rFonts w:ascii="宋体" w:hAnsi="宋体" w:eastAsia="宋体" w:cs="宋体"/>
          <w:sz w:val="27"/>
          <w:szCs w:val="27"/>
        </w:rPr>
        <w:t>泄压面积：</w:t>
      </w:r>
      <w:r>
        <w:rPr>
          <w:rFonts w:ascii="宋体" w:hAnsi="宋体" w:eastAsia="宋体" w:cs="宋体"/>
          <w:sz w:val="27"/>
          <w:szCs w:val="27"/>
        </w:rPr>
        <w:br w:type="textWrapping"/>
      </w:r>
      <w:r>
        <w:rPr>
          <w:rFonts w:ascii="宋体" w:hAnsi="宋体" w:eastAsia="宋体" w:cs="宋体"/>
          <w:sz w:val="27"/>
          <w:szCs w:val="27"/>
        </w:rPr>
        <w:t>=10×0.11×（15×10×5）2/3</w:t>
      </w:r>
      <w:r>
        <w:rPr>
          <w:rFonts w:ascii="宋体" w:hAnsi="宋体" w:eastAsia="宋体" w:cs="宋体"/>
          <w:sz w:val="27"/>
          <w:szCs w:val="27"/>
        </w:rPr>
        <w:br w:type="textWrapping"/>
      </w:r>
      <w:r>
        <w:rPr>
          <w:rFonts w:ascii="宋体" w:hAnsi="宋体" w:eastAsia="宋体" w:cs="宋体"/>
          <w:sz w:val="27"/>
          <w:szCs w:val="27"/>
        </w:rPr>
        <w:t>=1.1×7502/3</w:t>
      </w:r>
      <w:r>
        <w:rPr>
          <w:rFonts w:ascii="宋体" w:hAnsi="宋体" w:eastAsia="宋体" w:cs="宋体"/>
          <w:sz w:val="27"/>
          <w:szCs w:val="27"/>
        </w:rPr>
        <w:br w:type="textWrapping"/>
      </w:r>
      <w:r>
        <w:rPr>
          <w:rFonts w:ascii="宋体" w:hAnsi="宋体" w:eastAsia="宋体" w:cs="宋体"/>
          <w:sz w:val="27"/>
          <w:szCs w:val="27"/>
        </w:rPr>
        <w:t>=1.1×82.55=90.8m²</w:t>
      </w:r>
      <w:r>
        <w:rPr>
          <w:rFonts w:ascii="宋体" w:hAnsi="宋体" w:eastAsia="宋体" w:cs="宋体"/>
          <w:sz w:val="27"/>
          <w:szCs w:val="27"/>
        </w:rPr>
        <w:br w:type="textWrapping"/>
      </w:r>
      <w:r>
        <w:rPr>
          <w:rFonts w:ascii="宋体" w:hAnsi="宋体" w:eastAsia="宋体" w:cs="宋体"/>
          <w:sz w:val="27"/>
          <w:szCs w:val="27"/>
        </w:rPr>
        <w:t>（提示：1502/3=28.84；2002/3=34.20；7502/3=82.55）</w:t>
      </w:r>
      <w:r>
        <w:rPr>
          <w:rFonts w:ascii="宋体" w:hAnsi="宋体" w:eastAsia="宋体" w:cs="宋体"/>
          <w:sz w:val="27"/>
          <w:szCs w:val="27"/>
        </w:rPr>
        <w:br w:type="textWrapping"/>
      </w:r>
      <w:r>
        <w:rPr>
          <w:rFonts w:ascii="宋体" w:hAnsi="宋体" w:eastAsia="宋体" w:cs="宋体"/>
          <w:sz w:val="27"/>
          <w:szCs w:val="27"/>
        </w:rPr>
        <w:t xml:space="preserve">2）油漆工段外墙面积为15×5=75m²，即便全部作外窗也小于计算所需泄压面积，故不能仅采用外窗作为泄压面，同时考虑泄压面的设置应避开人员集中的场所和主要交通道路，这里南面面临的是厂区道路，所以最好还是考虑顶部作为泄压面，作为泄压设施的轻质屋面板和轻质墙体的单位质量不宜超过60kg/m²。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006600"/>
          <w:sz w:val="27"/>
          <w:szCs w:val="27"/>
        </w:rPr>
        <w:t>答案解析</w:t>
      </w:r>
      <w:r>
        <w:rPr>
          <w:rFonts w:ascii="宋体" w:hAnsi="宋体" w:eastAsia="宋体" w:cs="宋体"/>
          <w:sz w:val="27"/>
          <w:szCs w:val="27"/>
        </w:rPr>
        <w:t xml:space="preserve">】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b/>
          <w:sz w:val="27"/>
          <w:szCs w:val="27"/>
        </w:rPr>
        <w:t>本题知识点：</w:t>
      </w:r>
      <w:r>
        <w:rPr>
          <w:rFonts w:ascii="宋体" w:hAnsi="宋体" w:eastAsia="宋体" w:cs="宋体"/>
          <w:sz w:val="27"/>
          <w:szCs w:val="27"/>
        </w:rPr>
        <w:t>厂房防爆要求</w:t>
      </w:r>
    </w:p>
    <w:p>
      <w:pPr>
        <w:keepNext w:val="0"/>
        <w:keepLines w:val="0"/>
        <w:widowControl/>
        <w:suppressLineNumbers w:val="0"/>
        <w:spacing w:before="0" w:beforeAutospacing="0" w:after="240" w:afterAutospacing="0"/>
        <w:ind w:left="0" w:right="0"/>
        <w:jc w:val="left"/>
      </w:pPr>
    </w:p>
    <w:p>
      <w:pPr>
        <w:keepNext w:val="0"/>
        <w:keepLines w:val="0"/>
        <w:widowControl/>
        <w:suppressLineNumbers w:val="0"/>
        <w:pBdr>
          <w:top w:val="none" w:color="auto" w:sz="0" w:space="0"/>
        </w:pBdr>
        <w:spacing w:before="0" w:beforeAutospacing="0" w:after="15" w:afterAutospacing="0"/>
        <w:ind w:left="0" w:right="0"/>
        <w:jc w:val="left"/>
        <w:rPr>
          <w:sz w:val="27"/>
          <w:szCs w:val="27"/>
        </w:rPr>
      </w:pPr>
      <w:r>
        <w:rPr>
          <w:rFonts w:ascii="宋体" w:hAnsi="宋体" w:eastAsia="宋体" w:cs="宋体"/>
          <w:sz w:val="27"/>
          <w:szCs w:val="27"/>
        </w:rPr>
        <w:t xml:space="preserve">4） 中间仓库存在哪些消防安全问题？应采取哪些防火防爆技术措施？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FF0000"/>
          <w:sz w:val="27"/>
          <w:szCs w:val="27"/>
        </w:rPr>
        <w:t>正确答案</w:t>
      </w:r>
      <w:r>
        <w:rPr>
          <w:rFonts w:ascii="宋体" w:hAnsi="宋体" w:eastAsia="宋体" w:cs="宋体"/>
          <w:sz w:val="27"/>
          <w:szCs w:val="27"/>
        </w:rPr>
        <w:t>】 1）中间仓库储存的危险性最高的是甲苯和香蕉水，其火灾危险性属于甲类（查实务教材表2-2-1生产的火灾危险性分类及举例，查建规P181页）所以中间仓库火灾危险性为甲类。本厂房查实务教材：（2）砖木结构。主要承重构件用砖石和木材做成。如砖（石）砌墙体、木楼板、木屋盖的建筑。）中间仓库采用防火墙与其他部位分隔，顶部是难燃的承重构件耐火极限0.5h和木屋顶。对于甲级中间仓库来说，等级偏低。情景：中间仓库内储存3昼夜喷漆生产需要量的油漆、稀释剂、甲苯和香蕉水应予减少到一昼夜的用量。</w:t>
      </w:r>
      <w:r>
        <w:rPr>
          <w:rFonts w:ascii="宋体" w:hAnsi="宋体" w:eastAsia="宋体" w:cs="宋体"/>
          <w:sz w:val="27"/>
          <w:szCs w:val="27"/>
        </w:rPr>
        <w:br w:type="textWrapping"/>
      </w:r>
      <w:r>
        <w:rPr>
          <w:rFonts w:ascii="宋体" w:hAnsi="宋体" w:eastAsia="宋体" w:cs="宋体"/>
          <w:sz w:val="27"/>
          <w:szCs w:val="27"/>
        </w:rPr>
        <w:t xml:space="preserve">2）应采取的防火防爆技术措施：依据教材和规范，厂房内设置不超过一昼夜需要量的甲、乙类中间仓库时，中间仓库应靠外墙布置，并应采用防火墙和耐火极限不低于1.50h的不燃烧体楼板与其他部分隔开，中间仓库最好设置直通室外的出口。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006600"/>
          <w:sz w:val="27"/>
          <w:szCs w:val="27"/>
        </w:rPr>
        <w:t>答案解析</w:t>
      </w:r>
      <w:r>
        <w:rPr>
          <w:rFonts w:ascii="宋体" w:hAnsi="宋体" w:eastAsia="宋体" w:cs="宋体"/>
          <w:sz w:val="27"/>
          <w:szCs w:val="27"/>
        </w:rPr>
        <w:t xml:space="preserve">】 实务教材第二篇第四章第三节。（2015年真题）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b/>
          <w:sz w:val="27"/>
          <w:szCs w:val="27"/>
        </w:rPr>
        <w:t>本题知识点：</w:t>
      </w:r>
      <w:r>
        <w:rPr>
          <w:rFonts w:ascii="宋体" w:hAnsi="宋体" w:eastAsia="宋体" w:cs="宋体"/>
          <w:sz w:val="27"/>
          <w:szCs w:val="27"/>
        </w:rPr>
        <w:t>厂房内办公室、休息室及中间仓库布置要求</w:t>
      </w:r>
    </w:p>
    <w:p>
      <w:pPr>
        <w:keepNext w:val="0"/>
        <w:keepLines w:val="0"/>
        <w:widowControl/>
        <w:suppressLineNumbers w:val="0"/>
        <w:spacing w:before="0" w:beforeAutospacing="0" w:after="240" w:afterAutospacing="0"/>
        <w:ind w:left="0" w:right="0"/>
        <w:jc w:val="left"/>
      </w:pPr>
    </w:p>
    <w:p>
      <w:pPr>
        <w:keepNext w:val="0"/>
        <w:keepLines w:val="0"/>
        <w:widowControl/>
        <w:suppressLineNumbers w:val="0"/>
        <w:pBdr>
          <w:top w:val="none" w:color="auto" w:sz="0" w:space="0"/>
        </w:pBdr>
        <w:spacing w:before="0" w:beforeAutospacing="0" w:after="15" w:afterAutospacing="0"/>
        <w:ind w:left="0" w:right="0"/>
        <w:jc w:val="left"/>
        <w:rPr>
          <w:sz w:val="27"/>
          <w:szCs w:val="27"/>
        </w:rPr>
      </w:pPr>
      <w:r>
        <w:rPr>
          <w:rFonts w:ascii="宋体" w:hAnsi="宋体" w:eastAsia="宋体" w:cs="宋体"/>
          <w:sz w:val="27"/>
          <w:szCs w:val="27"/>
        </w:rPr>
        <w:t xml:space="preserve">5） 该厂房内还应配置哪些建筑消防设施？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FF0000"/>
          <w:sz w:val="27"/>
          <w:szCs w:val="27"/>
        </w:rPr>
        <w:t>正确答案</w:t>
      </w:r>
      <w:r>
        <w:rPr>
          <w:rFonts w:ascii="宋体" w:hAnsi="宋体" w:eastAsia="宋体" w:cs="宋体"/>
          <w:sz w:val="27"/>
          <w:szCs w:val="27"/>
        </w:rPr>
        <w:t xml:space="preserve">】 本厂房建筑面积4500m²所以还应设置室外消火栓系统、排烟设施、火灾自动报警系统、自动灭火系统并宜采用自动喷水灭火系统。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006600"/>
          <w:sz w:val="27"/>
          <w:szCs w:val="27"/>
        </w:rPr>
        <w:t>答案解析</w:t>
      </w:r>
      <w:r>
        <w:rPr>
          <w:rFonts w:ascii="宋体" w:hAnsi="宋体" w:eastAsia="宋体" w:cs="宋体"/>
          <w:sz w:val="27"/>
          <w:szCs w:val="27"/>
        </w:rPr>
        <w:t xml:space="preserve">】 《建筑设计防火规范》8.3.1、8.4.1。（2015年真题）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b/>
          <w:sz w:val="27"/>
          <w:szCs w:val="27"/>
        </w:rPr>
        <w:t>本题知识点：</w:t>
      </w:r>
      <w:r>
        <w:rPr>
          <w:rFonts w:ascii="宋体" w:hAnsi="宋体" w:eastAsia="宋体" w:cs="宋体"/>
          <w:sz w:val="27"/>
          <w:szCs w:val="27"/>
        </w:rPr>
        <w:t>厂房防爆要求</w:t>
      </w:r>
    </w:p>
    <w:p>
      <w:pPr>
        <w:keepNext w:val="0"/>
        <w:keepLines w:val="0"/>
        <w:widowControl/>
        <w:suppressLineNumbers w:val="0"/>
        <w:spacing w:before="0" w:beforeAutospacing="0" w:after="240" w:afterAutospacing="0"/>
        <w:ind w:left="0" w:right="0"/>
        <w:jc w:val="left"/>
      </w:pPr>
    </w:p>
    <w:p>
      <w:pPr>
        <w:keepNext w:val="0"/>
        <w:keepLines w:val="0"/>
        <w:widowControl/>
        <w:suppressLineNumbers w:val="0"/>
        <w:jc w:val="left"/>
      </w:pP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4. </w:t>
      </w:r>
      <w:r>
        <w:rPr>
          <w:rFonts w:hint="eastAsia" w:ascii="宋体" w:hAnsi="宋体" w:eastAsia="宋体" w:cs="宋体"/>
          <w:sz w:val="21"/>
          <w:szCs w:val="21"/>
        </w:rPr>
        <w:t>某信息中心大楼内设有自动喷水灭火系统，气体灭火系统、火灾自动报警系统等自动消防设施和灭火器。2015年2月5日，该单位安保部对信息中心的消防设施进行了全面检查测试，部分检查情况如下：</w:t>
      </w:r>
    </w:p>
    <w:p>
      <w:pPr>
        <w:pStyle w:val="4"/>
        <w:keepNext w:val="0"/>
        <w:keepLines w:val="0"/>
        <w:widowControl/>
        <w:suppressLineNumbers w:val="0"/>
        <w:spacing w:before="0" w:beforeAutospacing="0" w:after="15" w:afterAutospacing="0"/>
        <w:ind w:left="0" w:right="0"/>
        <w:jc w:val="left"/>
      </w:pPr>
      <w:r>
        <w:rPr>
          <w:rFonts w:hint="eastAsia" w:ascii="宋体" w:hAnsi="宋体" w:eastAsia="宋体" w:cs="宋体"/>
          <w:sz w:val="21"/>
          <w:szCs w:val="21"/>
        </w:rPr>
        <w:t>（一）建筑灭火器检查情况（详见表1）</w:t>
      </w:r>
    </w:p>
    <w:p>
      <w:pPr>
        <w:pStyle w:val="4"/>
        <w:keepNext w:val="0"/>
        <w:keepLines w:val="0"/>
        <w:widowControl/>
        <w:suppressLineNumbers w:val="0"/>
        <w:spacing w:before="0" w:beforeAutospacing="0" w:after="15" w:afterAutospacing="0"/>
        <w:ind w:left="0" w:right="0"/>
        <w:jc w:val="left"/>
      </w:pPr>
      <w:r>
        <w:rPr>
          <w:rFonts w:hint="eastAsia" w:ascii="宋体" w:hAnsi="宋体" w:eastAsia="宋体" w:cs="宋体"/>
          <w:sz w:val="21"/>
          <w:szCs w:val="21"/>
        </w:rPr>
        <w:t>表1 建筑灭火器检查情况</w:t>
      </w:r>
    </w:p>
    <w:tbl>
      <w:tblPr>
        <w:tblStyle w:val="5"/>
        <w:tblW w:w="8316" w:type="dxa"/>
        <w:tblInd w:w="96" w:type="dxa"/>
        <w:shd w:val="clear" w:color="auto" w:fill="auto"/>
        <w:tblLayout w:type="fixed"/>
        <w:tblCellMar>
          <w:top w:w="15" w:type="dxa"/>
          <w:left w:w="15" w:type="dxa"/>
          <w:bottom w:w="15" w:type="dxa"/>
          <w:right w:w="15" w:type="dxa"/>
        </w:tblCellMar>
      </w:tblPr>
      <w:tblGrid>
        <w:gridCol w:w="1120"/>
        <w:gridCol w:w="1283"/>
        <w:gridCol w:w="940"/>
        <w:gridCol w:w="1283"/>
        <w:gridCol w:w="1220"/>
        <w:gridCol w:w="830"/>
        <w:gridCol w:w="820"/>
        <w:gridCol w:w="820"/>
      </w:tblGrid>
      <w:tr>
        <w:tblPrEx>
          <w:shd w:val="clear" w:color="auto" w:fill="auto"/>
          <w:tblLayout w:type="fixed"/>
        </w:tblPrEx>
        <w:trPr>
          <w:trHeight w:val="563" w:hRule="atLeast"/>
        </w:trPr>
        <w:tc>
          <w:tcPr>
            <w:tcW w:w="1120" w:type="dxa"/>
            <w:vMerge w:val="restart"/>
            <w:tcBorders>
              <w:top w:val="single" w:color="auto" w:sz="8" w:space="0"/>
              <w:left w:val="single" w:color="auto" w:sz="8" w:space="0"/>
              <w:bottom w:val="single" w:color="auto" w:sz="8" w:space="0"/>
              <w:right w:val="single" w:color="auto" w:sz="8" w:space="0"/>
            </w:tcBorders>
            <w:shd w:val="clear" w:color="auto" w:fill="auto"/>
            <w:tcMar>
              <w:top w:w="13" w:type="dxa"/>
              <w:left w:w="13" w:type="dxa"/>
              <w:bottom w:w="0" w:type="dxa"/>
              <w:right w:w="13" w:type="dxa"/>
            </w:tcMar>
            <w:vAlign w:val="center"/>
          </w:tcPr>
          <w:p>
            <w:pPr>
              <w:pStyle w:val="4"/>
              <w:keepNext w:val="0"/>
              <w:keepLines w:val="0"/>
              <w:widowControl/>
              <w:suppressLineNumbers w:val="0"/>
              <w:spacing w:before="0" w:beforeAutospacing="0" w:after="0" w:afterAutospacing="0" w:line="312" w:lineRule="auto"/>
              <w:ind w:left="0" w:right="0"/>
              <w:jc w:val="center"/>
              <w:textAlignment w:val="baseline"/>
            </w:pPr>
            <w:r>
              <w:rPr>
                <w:rFonts w:hint="eastAsia" w:ascii="宋体" w:hAnsi="宋体" w:eastAsia="宋体" w:cs="宋体"/>
                <w:sz w:val="21"/>
                <w:szCs w:val="21"/>
                <w:vertAlign w:val="baseline"/>
              </w:rPr>
              <w:t>灭火器型号</w:t>
            </w:r>
          </w:p>
        </w:tc>
        <w:tc>
          <w:tcPr>
            <w:tcW w:w="1283" w:type="dxa"/>
            <w:vMerge w:val="restart"/>
            <w:tcBorders>
              <w:top w:val="single" w:color="auto" w:sz="8" w:space="0"/>
              <w:left w:val="nil"/>
              <w:bottom w:val="single" w:color="auto" w:sz="8" w:space="0"/>
              <w:right w:val="single" w:color="auto" w:sz="8" w:space="0"/>
            </w:tcBorders>
            <w:shd w:val="clear" w:color="auto" w:fill="auto"/>
            <w:tcMar>
              <w:top w:w="13" w:type="dxa"/>
              <w:left w:w="13" w:type="dxa"/>
              <w:bottom w:w="0" w:type="dxa"/>
              <w:right w:w="13" w:type="dxa"/>
            </w:tcMar>
            <w:vAlign w:val="center"/>
          </w:tcPr>
          <w:p>
            <w:pPr>
              <w:pStyle w:val="4"/>
              <w:keepNext w:val="0"/>
              <w:keepLines w:val="0"/>
              <w:widowControl/>
              <w:suppressLineNumbers w:val="0"/>
              <w:spacing w:before="0" w:beforeAutospacing="0" w:after="0" w:afterAutospacing="0" w:line="312" w:lineRule="auto"/>
              <w:ind w:left="0" w:right="0"/>
              <w:jc w:val="center"/>
              <w:textAlignment w:val="baseline"/>
            </w:pPr>
            <w:r>
              <w:rPr>
                <w:rFonts w:hint="eastAsia" w:ascii="宋体" w:hAnsi="宋体" w:eastAsia="宋体" w:cs="宋体"/>
                <w:sz w:val="21"/>
                <w:szCs w:val="21"/>
                <w:vertAlign w:val="baseline"/>
              </w:rPr>
              <w:t>出厂日期</w:t>
            </w:r>
          </w:p>
        </w:tc>
        <w:tc>
          <w:tcPr>
            <w:tcW w:w="940" w:type="dxa"/>
            <w:vMerge w:val="restart"/>
            <w:tcBorders>
              <w:top w:val="single" w:color="auto" w:sz="8" w:space="0"/>
              <w:left w:val="nil"/>
              <w:bottom w:val="single" w:color="auto" w:sz="8" w:space="0"/>
              <w:right w:val="single" w:color="auto" w:sz="8" w:space="0"/>
            </w:tcBorders>
            <w:shd w:val="clear" w:color="auto" w:fill="auto"/>
            <w:tcMar>
              <w:top w:w="13" w:type="dxa"/>
              <w:left w:w="13" w:type="dxa"/>
              <w:bottom w:w="0" w:type="dxa"/>
              <w:right w:w="13" w:type="dxa"/>
            </w:tcMar>
            <w:vAlign w:val="center"/>
          </w:tcPr>
          <w:p>
            <w:pPr>
              <w:pStyle w:val="4"/>
              <w:keepNext w:val="0"/>
              <w:keepLines w:val="0"/>
              <w:widowControl/>
              <w:suppressLineNumbers w:val="0"/>
              <w:spacing w:before="0" w:beforeAutospacing="0" w:after="0" w:afterAutospacing="0" w:line="312" w:lineRule="auto"/>
              <w:ind w:left="0" w:right="0"/>
              <w:jc w:val="center"/>
              <w:textAlignment w:val="baseline"/>
            </w:pPr>
            <w:r>
              <w:rPr>
                <w:rFonts w:hint="eastAsia" w:ascii="宋体" w:hAnsi="宋体" w:eastAsia="宋体" w:cs="宋体"/>
                <w:sz w:val="21"/>
                <w:szCs w:val="21"/>
                <w:vertAlign w:val="baseline"/>
              </w:rPr>
              <w:t>数量（具）</w:t>
            </w:r>
          </w:p>
        </w:tc>
        <w:tc>
          <w:tcPr>
            <w:tcW w:w="1283" w:type="dxa"/>
            <w:vMerge w:val="restart"/>
            <w:tcBorders>
              <w:top w:val="single" w:color="auto" w:sz="8" w:space="0"/>
              <w:left w:val="nil"/>
              <w:bottom w:val="single" w:color="auto" w:sz="8" w:space="0"/>
              <w:right w:val="single" w:color="auto" w:sz="8" w:space="0"/>
            </w:tcBorders>
            <w:shd w:val="clear" w:color="auto" w:fill="auto"/>
            <w:tcMar>
              <w:top w:w="13" w:type="dxa"/>
              <w:left w:w="13" w:type="dxa"/>
              <w:bottom w:w="0" w:type="dxa"/>
              <w:right w:w="13" w:type="dxa"/>
            </w:tcMar>
            <w:vAlign w:val="center"/>
          </w:tcPr>
          <w:p>
            <w:pPr>
              <w:pStyle w:val="4"/>
              <w:keepNext w:val="0"/>
              <w:keepLines w:val="0"/>
              <w:widowControl/>
              <w:suppressLineNumbers w:val="0"/>
              <w:spacing w:before="0" w:beforeAutospacing="0" w:after="0" w:afterAutospacing="0" w:line="312" w:lineRule="auto"/>
              <w:ind w:left="0" w:right="0"/>
              <w:jc w:val="center"/>
              <w:textAlignment w:val="baseline"/>
            </w:pPr>
            <w:r>
              <w:rPr>
                <w:rFonts w:hint="eastAsia" w:ascii="宋体" w:hAnsi="宋体" w:eastAsia="宋体" w:cs="宋体"/>
                <w:sz w:val="21"/>
                <w:szCs w:val="21"/>
                <w:vertAlign w:val="baseline"/>
              </w:rPr>
              <w:t>上次维修</w:t>
            </w:r>
          </w:p>
          <w:p>
            <w:pPr>
              <w:pStyle w:val="4"/>
              <w:keepNext w:val="0"/>
              <w:keepLines w:val="0"/>
              <w:widowControl/>
              <w:suppressLineNumbers w:val="0"/>
              <w:spacing w:before="0" w:beforeAutospacing="0" w:after="0" w:afterAutospacing="0" w:line="312" w:lineRule="auto"/>
              <w:ind w:left="0" w:right="0"/>
              <w:jc w:val="center"/>
              <w:textAlignment w:val="baseline"/>
            </w:pPr>
            <w:r>
              <w:rPr>
                <w:rFonts w:hint="eastAsia" w:ascii="宋体" w:hAnsi="宋体" w:eastAsia="宋体" w:cs="宋体"/>
                <w:sz w:val="21"/>
                <w:szCs w:val="21"/>
                <w:vertAlign w:val="baseline"/>
              </w:rPr>
              <w:t>时间</w:t>
            </w:r>
          </w:p>
        </w:tc>
        <w:tc>
          <w:tcPr>
            <w:tcW w:w="3690" w:type="dxa"/>
            <w:gridSpan w:val="4"/>
            <w:tcBorders>
              <w:top w:val="single" w:color="auto" w:sz="8" w:space="0"/>
              <w:left w:val="nil"/>
              <w:bottom w:val="single" w:color="auto" w:sz="8" w:space="0"/>
              <w:right w:val="single" w:color="auto" w:sz="8" w:space="0"/>
            </w:tcBorders>
            <w:shd w:val="clear" w:color="auto" w:fill="auto"/>
            <w:tcMar>
              <w:top w:w="13" w:type="dxa"/>
              <w:left w:w="13" w:type="dxa"/>
              <w:bottom w:w="0" w:type="dxa"/>
              <w:right w:w="13" w:type="dxa"/>
            </w:tcMar>
            <w:vAlign w:val="center"/>
          </w:tcPr>
          <w:p>
            <w:pPr>
              <w:pStyle w:val="4"/>
              <w:keepNext w:val="0"/>
              <w:keepLines w:val="0"/>
              <w:widowControl/>
              <w:suppressLineNumbers w:val="0"/>
              <w:spacing w:before="0" w:beforeAutospacing="0" w:after="0" w:afterAutospacing="0" w:line="312" w:lineRule="auto"/>
              <w:ind w:left="0" w:right="0"/>
              <w:jc w:val="center"/>
              <w:textAlignment w:val="baseline"/>
            </w:pPr>
            <w:r>
              <w:rPr>
                <w:rFonts w:hint="eastAsia" w:ascii="宋体" w:hAnsi="宋体" w:eastAsia="宋体" w:cs="宋体"/>
                <w:sz w:val="21"/>
                <w:szCs w:val="21"/>
                <w:vertAlign w:val="baseline"/>
              </w:rPr>
              <w:t>外观检查存在问题的灭火器</w:t>
            </w:r>
          </w:p>
        </w:tc>
      </w:tr>
      <w:tr>
        <w:tblPrEx>
          <w:shd w:val="clear" w:color="auto" w:fill="auto"/>
          <w:tblLayout w:type="fixed"/>
          <w:tblCellMar>
            <w:top w:w="15" w:type="dxa"/>
            <w:left w:w="15" w:type="dxa"/>
            <w:bottom w:w="15" w:type="dxa"/>
            <w:right w:w="15" w:type="dxa"/>
          </w:tblCellMar>
        </w:tblPrEx>
        <w:trPr>
          <w:trHeight w:val="1123" w:hRule="atLeast"/>
        </w:trPr>
        <w:tc>
          <w:tcPr>
            <w:tcW w:w="1120" w:type="dxa"/>
            <w:vMerge w:val="continue"/>
            <w:tcBorders>
              <w:top w:val="single" w:color="auto" w:sz="8" w:space="0"/>
              <w:left w:val="single" w:color="auto" w:sz="8" w:space="0"/>
              <w:bottom w:val="single" w:color="auto" w:sz="8" w:space="0"/>
              <w:right w:val="single" w:color="auto" w:sz="8" w:space="0"/>
            </w:tcBorders>
            <w:shd w:val="clear" w:color="auto" w:fill="auto"/>
            <w:tcMar>
              <w:top w:w="13" w:type="dxa"/>
              <w:left w:w="13" w:type="dxa"/>
              <w:bottom w:w="0" w:type="dxa"/>
              <w:right w:w="13" w:type="dxa"/>
            </w:tcMar>
            <w:vAlign w:val="center"/>
          </w:tcPr>
          <w:p>
            <w:pPr>
              <w:rPr>
                <w:rFonts w:hint="eastAsia" w:ascii="宋体"/>
                <w:sz w:val="24"/>
                <w:szCs w:val="24"/>
              </w:rPr>
            </w:pPr>
          </w:p>
        </w:tc>
        <w:tc>
          <w:tcPr>
            <w:tcW w:w="1283" w:type="dxa"/>
            <w:vMerge w:val="continue"/>
            <w:tcBorders>
              <w:top w:val="single" w:color="auto" w:sz="8" w:space="0"/>
              <w:left w:val="nil"/>
              <w:bottom w:val="single" w:color="auto" w:sz="8" w:space="0"/>
              <w:right w:val="single" w:color="auto" w:sz="8" w:space="0"/>
            </w:tcBorders>
            <w:shd w:val="clear" w:color="auto" w:fill="auto"/>
            <w:tcMar>
              <w:top w:w="13" w:type="dxa"/>
              <w:left w:w="13" w:type="dxa"/>
              <w:bottom w:w="0" w:type="dxa"/>
              <w:right w:w="13" w:type="dxa"/>
            </w:tcMar>
            <w:vAlign w:val="center"/>
          </w:tcPr>
          <w:p>
            <w:pPr>
              <w:rPr>
                <w:rFonts w:hint="eastAsia" w:ascii="宋体"/>
                <w:sz w:val="24"/>
                <w:szCs w:val="24"/>
              </w:rPr>
            </w:pPr>
          </w:p>
        </w:tc>
        <w:tc>
          <w:tcPr>
            <w:tcW w:w="940" w:type="dxa"/>
            <w:vMerge w:val="continue"/>
            <w:tcBorders>
              <w:top w:val="single" w:color="auto" w:sz="8" w:space="0"/>
              <w:left w:val="nil"/>
              <w:bottom w:val="single" w:color="auto" w:sz="8" w:space="0"/>
              <w:right w:val="single" w:color="auto" w:sz="8" w:space="0"/>
            </w:tcBorders>
            <w:shd w:val="clear" w:color="auto" w:fill="auto"/>
            <w:tcMar>
              <w:top w:w="13" w:type="dxa"/>
              <w:left w:w="13" w:type="dxa"/>
              <w:bottom w:w="0" w:type="dxa"/>
              <w:right w:w="13" w:type="dxa"/>
            </w:tcMar>
            <w:vAlign w:val="center"/>
          </w:tcPr>
          <w:p>
            <w:pPr>
              <w:rPr>
                <w:rFonts w:hint="eastAsia" w:ascii="宋体"/>
                <w:sz w:val="24"/>
                <w:szCs w:val="24"/>
              </w:rPr>
            </w:pPr>
          </w:p>
        </w:tc>
        <w:tc>
          <w:tcPr>
            <w:tcW w:w="1283" w:type="dxa"/>
            <w:vMerge w:val="continue"/>
            <w:tcBorders>
              <w:top w:val="single" w:color="auto" w:sz="8" w:space="0"/>
              <w:left w:val="nil"/>
              <w:bottom w:val="single" w:color="auto" w:sz="8" w:space="0"/>
              <w:right w:val="single" w:color="auto" w:sz="8" w:space="0"/>
            </w:tcBorders>
            <w:shd w:val="clear" w:color="auto" w:fill="auto"/>
            <w:tcMar>
              <w:top w:w="13" w:type="dxa"/>
              <w:left w:w="13" w:type="dxa"/>
              <w:bottom w:w="0" w:type="dxa"/>
              <w:right w:w="13" w:type="dxa"/>
            </w:tcMar>
            <w:vAlign w:val="center"/>
          </w:tcPr>
          <w:p>
            <w:pPr>
              <w:rPr>
                <w:rFonts w:hint="eastAsia" w:ascii="宋体"/>
                <w:sz w:val="24"/>
                <w:szCs w:val="24"/>
              </w:rPr>
            </w:pPr>
          </w:p>
        </w:tc>
        <w:tc>
          <w:tcPr>
            <w:tcW w:w="1220" w:type="dxa"/>
            <w:vMerge w:val="restart"/>
            <w:tcBorders>
              <w:top w:val="nil"/>
              <w:left w:val="nil"/>
              <w:bottom w:val="single" w:color="auto" w:sz="8" w:space="0"/>
              <w:right w:val="single" w:color="auto" w:sz="8" w:space="0"/>
            </w:tcBorders>
            <w:shd w:val="clear" w:color="auto" w:fill="auto"/>
            <w:tcMar>
              <w:top w:w="13" w:type="dxa"/>
              <w:left w:w="13" w:type="dxa"/>
              <w:bottom w:w="0" w:type="dxa"/>
              <w:right w:w="13" w:type="dxa"/>
            </w:tcMar>
            <w:vAlign w:val="center"/>
          </w:tcPr>
          <w:p>
            <w:pPr>
              <w:pStyle w:val="4"/>
              <w:keepNext w:val="0"/>
              <w:keepLines w:val="0"/>
              <w:widowControl/>
              <w:suppressLineNumbers w:val="0"/>
              <w:spacing w:before="0" w:beforeAutospacing="0" w:after="0" w:afterAutospacing="0" w:line="312" w:lineRule="auto"/>
              <w:ind w:left="0" w:right="0"/>
              <w:jc w:val="center"/>
              <w:textAlignment w:val="baseline"/>
            </w:pPr>
            <w:r>
              <w:rPr>
                <w:rFonts w:hint="eastAsia" w:ascii="宋体" w:hAnsi="宋体" w:eastAsia="宋体" w:cs="宋体"/>
                <w:sz w:val="21"/>
                <w:szCs w:val="21"/>
                <w:vertAlign w:val="baseline"/>
              </w:rPr>
              <w:t>压力表指针位于红区</w:t>
            </w:r>
          </w:p>
        </w:tc>
        <w:tc>
          <w:tcPr>
            <w:tcW w:w="1650" w:type="dxa"/>
            <w:gridSpan w:val="2"/>
            <w:tcBorders>
              <w:top w:val="single" w:color="auto" w:sz="8" w:space="0"/>
              <w:left w:val="nil"/>
              <w:bottom w:val="single" w:color="auto" w:sz="8" w:space="0"/>
              <w:right w:val="single" w:color="auto" w:sz="8" w:space="0"/>
            </w:tcBorders>
            <w:shd w:val="clear" w:color="auto" w:fill="auto"/>
            <w:tcMar>
              <w:top w:w="13" w:type="dxa"/>
              <w:left w:w="13" w:type="dxa"/>
              <w:bottom w:w="0" w:type="dxa"/>
              <w:right w:w="13" w:type="dxa"/>
            </w:tcMar>
            <w:vAlign w:val="center"/>
          </w:tcPr>
          <w:p>
            <w:pPr>
              <w:pStyle w:val="4"/>
              <w:keepNext w:val="0"/>
              <w:keepLines w:val="0"/>
              <w:widowControl/>
              <w:suppressLineNumbers w:val="0"/>
              <w:spacing w:before="0" w:beforeAutospacing="0" w:after="0" w:afterAutospacing="0" w:line="312" w:lineRule="auto"/>
              <w:ind w:left="0" w:right="0"/>
              <w:jc w:val="center"/>
              <w:textAlignment w:val="baseline"/>
            </w:pPr>
            <w:r>
              <w:rPr>
                <w:rFonts w:hint="eastAsia" w:ascii="宋体" w:hAnsi="宋体" w:eastAsia="宋体" w:cs="宋体"/>
                <w:sz w:val="21"/>
                <w:szCs w:val="21"/>
                <w:vertAlign w:val="baseline"/>
              </w:rPr>
              <w:t>筒体锈蚀面积与</w:t>
            </w:r>
          </w:p>
          <w:p>
            <w:pPr>
              <w:pStyle w:val="4"/>
              <w:keepNext w:val="0"/>
              <w:keepLines w:val="0"/>
              <w:widowControl/>
              <w:suppressLineNumbers w:val="0"/>
              <w:spacing w:before="0" w:beforeAutospacing="0" w:after="0" w:afterAutospacing="0" w:line="312" w:lineRule="auto"/>
              <w:ind w:left="0" w:right="0"/>
              <w:jc w:val="center"/>
              <w:textAlignment w:val="baseline"/>
            </w:pPr>
            <w:r>
              <w:rPr>
                <w:rFonts w:hint="eastAsia" w:ascii="宋体" w:hAnsi="宋体" w:eastAsia="宋体" w:cs="宋体"/>
                <w:sz w:val="21"/>
                <w:szCs w:val="21"/>
                <w:vertAlign w:val="baseline"/>
              </w:rPr>
              <w:t>筒体面积之比</w:t>
            </w:r>
          </w:p>
        </w:tc>
        <w:tc>
          <w:tcPr>
            <w:tcW w:w="820" w:type="dxa"/>
            <w:vMerge w:val="restart"/>
            <w:tcBorders>
              <w:top w:val="single" w:color="auto" w:sz="8" w:space="0"/>
              <w:left w:val="nil"/>
              <w:bottom w:val="single" w:color="auto" w:sz="8" w:space="0"/>
              <w:right w:val="single" w:color="auto" w:sz="8" w:space="0"/>
            </w:tcBorders>
            <w:shd w:val="clear" w:color="auto" w:fill="auto"/>
            <w:tcMar>
              <w:top w:w="13" w:type="dxa"/>
              <w:left w:w="13" w:type="dxa"/>
              <w:bottom w:w="0" w:type="dxa"/>
              <w:right w:w="13" w:type="dxa"/>
            </w:tcMar>
            <w:vAlign w:val="center"/>
          </w:tcPr>
          <w:p>
            <w:pPr>
              <w:pStyle w:val="4"/>
              <w:keepNext w:val="0"/>
              <w:keepLines w:val="0"/>
              <w:widowControl/>
              <w:suppressLineNumbers w:val="0"/>
              <w:spacing w:before="0" w:beforeAutospacing="0" w:after="0" w:afterAutospacing="0" w:line="312" w:lineRule="auto"/>
              <w:ind w:left="0" w:right="0"/>
              <w:jc w:val="center"/>
              <w:textAlignment w:val="baseline"/>
            </w:pPr>
            <w:r>
              <w:rPr>
                <w:rFonts w:hint="eastAsia" w:ascii="宋体" w:hAnsi="宋体" w:eastAsia="宋体" w:cs="宋体"/>
                <w:sz w:val="21"/>
                <w:szCs w:val="21"/>
                <w:vertAlign w:val="baseline"/>
              </w:rPr>
              <w:t>筒体</w:t>
            </w:r>
          </w:p>
          <w:p>
            <w:pPr>
              <w:pStyle w:val="4"/>
              <w:keepNext w:val="0"/>
              <w:keepLines w:val="0"/>
              <w:widowControl/>
              <w:suppressLineNumbers w:val="0"/>
              <w:spacing w:before="0" w:beforeAutospacing="0" w:after="0" w:afterAutospacing="0" w:line="312" w:lineRule="auto"/>
              <w:ind w:left="0" w:right="0"/>
              <w:jc w:val="center"/>
              <w:textAlignment w:val="baseline"/>
            </w:pPr>
            <w:r>
              <w:rPr>
                <w:rFonts w:hint="eastAsia" w:ascii="宋体" w:hAnsi="宋体" w:eastAsia="宋体" w:cs="宋体"/>
                <w:sz w:val="21"/>
                <w:szCs w:val="21"/>
                <w:vertAlign w:val="baseline"/>
              </w:rPr>
              <w:t>严重</w:t>
            </w:r>
          </w:p>
          <w:p>
            <w:pPr>
              <w:pStyle w:val="4"/>
              <w:keepNext w:val="0"/>
              <w:keepLines w:val="0"/>
              <w:widowControl/>
              <w:suppressLineNumbers w:val="0"/>
              <w:spacing w:before="0" w:beforeAutospacing="0" w:after="0" w:afterAutospacing="0" w:line="312" w:lineRule="auto"/>
              <w:ind w:left="0" w:right="0"/>
              <w:jc w:val="center"/>
              <w:textAlignment w:val="baseline"/>
            </w:pPr>
            <w:r>
              <w:rPr>
                <w:rFonts w:hint="eastAsia" w:ascii="宋体" w:hAnsi="宋体" w:eastAsia="宋体" w:cs="宋体"/>
                <w:sz w:val="21"/>
                <w:szCs w:val="21"/>
                <w:vertAlign w:val="baseline"/>
              </w:rPr>
              <w:t>变形</w:t>
            </w:r>
          </w:p>
        </w:tc>
      </w:tr>
      <w:tr>
        <w:tblPrEx>
          <w:shd w:val="clear" w:color="auto" w:fill="auto"/>
          <w:tblLayout w:type="fixed"/>
          <w:tblCellMar>
            <w:top w:w="15" w:type="dxa"/>
            <w:left w:w="15" w:type="dxa"/>
            <w:bottom w:w="15" w:type="dxa"/>
            <w:right w:w="15" w:type="dxa"/>
          </w:tblCellMar>
        </w:tblPrEx>
        <w:trPr>
          <w:trHeight w:val="563" w:hRule="atLeast"/>
        </w:trPr>
        <w:tc>
          <w:tcPr>
            <w:tcW w:w="1120" w:type="dxa"/>
            <w:vMerge w:val="continue"/>
            <w:tcBorders>
              <w:top w:val="single" w:color="auto" w:sz="8" w:space="0"/>
              <w:left w:val="single" w:color="auto" w:sz="8" w:space="0"/>
              <w:bottom w:val="single" w:color="auto" w:sz="8" w:space="0"/>
              <w:right w:val="single" w:color="auto" w:sz="8" w:space="0"/>
            </w:tcBorders>
            <w:shd w:val="clear" w:color="auto" w:fill="auto"/>
            <w:tcMar>
              <w:top w:w="13" w:type="dxa"/>
              <w:left w:w="13" w:type="dxa"/>
              <w:bottom w:w="0" w:type="dxa"/>
              <w:right w:w="13" w:type="dxa"/>
            </w:tcMar>
            <w:vAlign w:val="center"/>
          </w:tcPr>
          <w:p>
            <w:pPr>
              <w:rPr>
                <w:rFonts w:hint="eastAsia" w:ascii="宋体"/>
                <w:sz w:val="24"/>
                <w:szCs w:val="24"/>
              </w:rPr>
            </w:pPr>
          </w:p>
        </w:tc>
        <w:tc>
          <w:tcPr>
            <w:tcW w:w="1283" w:type="dxa"/>
            <w:vMerge w:val="continue"/>
            <w:tcBorders>
              <w:top w:val="single" w:color="auto" w:sz="8" w:space="0"/>
              <w:left w:val="nil"/>
              <w:bottom w:val="single" w:color="auto" w:sz="8" w:space="0"/>
              <w:right w:val="single" w:color="auto" w:sz="8" w:space="0"/>
            </w:tcBorders>
            <w:shd w:val="clear" w:color="auto" w:fill="auto"/>
            <w:tcMar>
              <w:top w:w="13" w:type="dxa"/>
              <w:left w:w="13" w:type="dxa"/>
              <w:bottom w:w="0" w:type="dxa"/>
              <w:right w:w="13" w:type="dxa"/>
            </w:tcMar>
            <w:vAlign w:val="center"/>
          </w:tcPr>
          <w:p>
            <w:pPr>
              <w:rPr>
                <w:rFonts w:hint="eastAsia" w:ascii="宋体"/>
                <w:sz w:val="24"/>
                <w:szCs w:val="24"/>
              </w:rPr>
            </w:pPr>
          </w:p>
        </w:tc>
        <w:tc>
          <w:tcPr>
            <w:tcW w:w="940" w:type="dxa"/>
            <w:vMerge w:val="continue"/>
            <w:tcBorders>
              <w:top w:val="single" w:color="auto" w:sz="8" w:space="0"/>
              <w:left w:val="nil"/>
              <w:bottom w:val="single" w:color="auto" w:sz="8" w:space="0"/>
              <w:right w:val="single" w:color="auto" w:sz="8" w:space="0"/>
            </w:tcBorders>
            <w:shd w:val="clear" w:color="auto" w:fill="auto"/>
            <w:tcMar>
              <w:top w:w="13" w:type="dxa"/>
              <w:left w:w="13" w:type="dxa"/>
              <w:bottom w:w="0" w:type="dxa"/>
              <w:right w:w="13" w:type="dxa"/>
            </w:tcMar>
            <w:vAlign w:val="center"/>
          </w:tcPr>
          <w:p>
            <w:pPr>
              <w:rPr>
                <w:rFonts w:hint="eastAsia" w:ascii="宋体"/>
                <w:sz w:val="24"/>
                <w:szCs w:val="24"/>
              </w:rPr>
            </w:pPr>
          </w:p>
        </w:tc>
        <w:tc>
          <w:tcPr>
            <w:tcW w:w="1283" w:type="dxa"/>
            <w:vMerge w:val="continue"/>
            <w:tcBorders>
              <w:top w:val="single" w:color="auto" w:sz="8" w:space="0"/>
              <w:left w:val="nil"/>
              <w:bottom w:val="single" w:color="auto" w:sz="8" w:space="0"/>
              <w:right w:val="single" w:color="auto" w:sz="8" w:space="0"/>
            </w:tcBorders>
            <w:shd w:val="clear" w:color="auto" w:fill="auto"/>
            <w:tcMar>
              <w:top w:w="13" w:type="dxa"/>
              <w:left w:w="13" w:type="dxa"/>
              <w:bottom w:w="0" w:type="dxa"/>
              <w:right w:w="13" w:type="dxa"/>
            </w:tcMar>
            <w:vAlign w:val="center"/>
          </w:tcPr>
          <w:p>
            <w:pPr>
              <w:rPr>
                <w:rFonts w:hint="eastAsia" w:ascii="宋体"/>
                <w:sz w:val="24"/>
                <w:szCs w:val="24"/>
              </w:rPr>
            </w:pPr>
          </w:p>
        </w:tc>
        <w:tc>
          <w:tcPr>
            <w:tcW w:w="1220" w:type="dxa"/>
            <w:vMerge w:val="continue"/>
            <w:tcBorders>
              <w:top w:val="nil"/>
              <w:left w:val="nil"/>
              <w:bottom w:val="single" w:color="auto" w:sz="8" w:space="0"/>
              <w:right w:val="single" w:color="auto" w:sz="8" w:space="0"/>
            </w:tcBorders>
            <w:shd w:val="clear" w:color="auto" w:fill="auto"/>
            <w:tcMar>
              <w:top w:w="13" w:type="dxa"/>
              <w:left w:w="13" w:type="dxa"/>
              <w:bottom w:w="0" w:type="dxa"/>
              <w:right w:w="13" w:type="dxa"/>
            </w:tcMar>
            <w:vAlign w:val="center"/>
          </w:tcPr>
          <w:p>
            <w:pPr>
              <w:rPr>
                <w:rFonts w:hint="eastAsia" w:ascii="宋体"/>
                <w:sz w:val="24"/>
                <w:szCs w:val="24"/>
              </w:rPr>
            </w:pPr>
          </w:p>
        </w:tc>
        <w:tc>
          <w:tcPr>
            <w:tcW w:w="830" w:type="dxa"/>
            <w:tcBorders>
              <w:top w:val="nil"/>
              <w:left w:val="nil"/>
              <w:bottom w:val="single" w:color="auto" w:sz="8" w:space="0"/>
              <w:right w:val="single" w:color="auto" w:sz="8" w:space="0"/>
            </w:tcBorders>
            <w:shd w:val="clear" w:color="auto" w:fill="auto"/>
            <w:tcMar>
              <w:top w:w="13" w:type="dxa"/>
              <w:left w:w="13" w:type="dxa"/>
              <w:bottom w:w="0" w:type="dxa"/>
              <w:right w:w="13" w:type="dxa"/>
            </w:tcMar>
            <w:vAlign w:val="center"/>
          </w:tcPr>
          <w:p>
            <w:pPr>
              <w:pStyle w:val="4"/>
              <w:keepNext w:val="0"/>
              <w:keepLines w:val="0"/>
              <w:widowControl/>
              <w:suppressLineNumbers w:val="0"/>
              <w:spacing w:before="0" w:beforeAutospacing="0" w:after="0" w:afterAutospacing="0" w:line="312" w:lineRule="auto"/>
              <w:ind w:left="0" w:right="0"/>
              <w:jc w:val="center"/>
              <w:textAlignment w:val="baseline"/>
            </w:pPr>
            <w:r>
              <w:rPr>
                <w:rFonts w:hint="eastAsia" w:ascii="宋体" w:hAnsi="宋体" w:eastAsia="宋体" w:cs="宋体"/>
                <w:sz w:val="21"/>
                <w:szCs w:val="21"/>
                <w:vertAlign w:val="baseline"/>
              </w:rPr>
              <w:t>&lt;1/3</w:t>
            </w:r>
          </w:p>
        </w:tc>
        <w:tc>
          <w:tcPr>
            <w:tcW w:w="820" w:type="dxa"/>
            <w:tcBorders>
              <w:top w:val="nil"/>
              <w:left w:val="nil"/>
              <w:bottom w:val="single" w:color="auto" w:sz="8" w:space="0"/>
              <w:right w:val="single" w:color="auto" w:sz="8" w:space="0"/>
            </w:tcBorders>
            <w:shd w:val="clear" w:color="auto" w:fill="auto"/>
            <w:tcMar>
              <w:top w:w="13" w:type="dxa"/>
              <w:left w:w="13" w:type="dxa"/>
              <w:bottom w:w="0" w:type="dxa"/>
              <w:right w:w="13" w:type="dxa"/>
            </w:tcMar>
            <w:vAlign w:val="center"/>
          </w:tcPr>
          <w:p>
            <w:pPr>
              <w:pStyle w:val="4"/>
              <w:keepNext w:val="0"/>
              <w:keepLines w:val="0"/>
              <w:widowControl/>
              <w:suppressLineNumbers w:val="0"/>
              <w:spacing w:before="0" w:beforeAutospacing="0" w:after="0" w:afterAutospacing="0" w:line="312" w:lineRule="auto"/>
              <w:ind w:left="0" w:right="0"/>
              <w:jc w:val="center"/>
              <w:textAlignment w:val="baseline"/>
            </w:pPr>
            <w:r>
              <w:rPr>
                <w:rFonts w:hint="eastAsia" w:ascii="宋体" w:hAnsi="宋体" w:eastAsia="宋体" w:cs="宋体"/>
                <w:sz w:val="21"/>
                <w:szCs w:val="21"/>
                <w:vertAlign w:val="baseline"/>
              </w:rPr>
              <w:t>≥1/3</w:t>
            </w:r>
          </w:p>
        </w:tc>
        <w:tc>
          <w:tcPr>
            <w:tcW w:w="820" w:type="dxa"/>
            <w:vMerge w:val="continue"/>
            <w:tcBorders>
              <w:top w:val="single" w:color="auto" w:sz="8" w:space="0"/>
              <w:left w:val="nil"/>
              <w:bottom w:val="single" w:color="auto" w:sz="8" w:space="0"/>
              <w:right w:val="single" w:color="auto" w:sz="8" w:space="0"/>
            </w:tcBorders>
            <w:shd w:val="clear" w:color="auto" w:fill="auto"/>
            <w:tcMar>
              <w:top w:w="13" w:type="dxa"/>
              <w:left w:w="13" w:type="dxa"/>
              <w:bottom w:w="0" w:type="dxa"/>
              <w:right w:w="13" w:type="dxa"/>
            </w:tcMar>
            <w:vAlign w:val="center"/>
          </w:tcPr>
          <w:p>
            <w:pPr>
              <w:rPr>
                <w:rFonts w:hint="eastAsia" w:ascii="宋体"/>
                <w:sz w:val="24"/>
                <w:szCs w:val="24"/>
              </w:rPr>
            </w:pPr>
          </w:p>
        </w:tc>
      </w:tr>
      <w:tr>
        <w:tblPrEx>
          <w:tblLayout w:type="fixed"/>
          <w:tblCellMar>
            <w:top w:w="15" w:type="dxa"/>
            <w:left w:w="15" w:type="dxa"/>
            <w:bottom w:w="15" w:type="dxa"/>
            <w:right w:w="15" w:type="dxa"/>
          </w:tblCellMar>
        </w:tblPrEx>
        <w:trPr>
          <w:trHeight w:val="563" w:hRule="atLeast"/>
        </w:trPr>
        <w:tc>
          <w:tcPr>
            <w:tcW w:w="1120" w:type="dxa"/>
            <w:vMerge w:val="restart"/>
            <w:tcBorders>
              <w:top w:val="nil"/>
              <w:left w:val="single" w:color="auto" w:sz="8" w:space="0"/>
              <w:bottom w:val="single" w:color="auto" w:sz="8" w:space="0"/>
              <w:right w:val="single" w:color="auto" w:sz="8" w:space="0"/>
            </w:tcBorders>
            <w:shd w:val="clear" w:color="auto" w:fill="auto"/>
            <w:tcMar>
              <w:top w:w="13" w:type="dxa"/>
              <w:left w:w="13" w:type="dxa"/>
              <w:bottom w:w="0" w:type="dxa"/>
              <w:right w:w="13" w:type="dxa"/>
            </w:tcMar>
            <w:vAlign w:val="center"/>
          </w:tcPr>
          <w:p>
            <w:pPr>
              <w:pStyle w:val="4"/>
              <w:keepNext w:val="0"/>
              <w:keepLines w:val="0"/>
              <w:widowControl/>
              <w:suppressLineNumbers w:val="0"/>
              <w:spacing w:before="0" w:beforeAutospacing="0" w:after="0" w:afterAutospacing="0" w:line="312" w:lineRule="auto"/>
              <w:ind w:left="0" w:right="0"/>
              <w:jc w:val="center"/>
              <w:textAlignment w:val="baseline"/>
            </w:pPr>
            <w:r>
              <w:rPr>
                <w:rFonts w:hint="eastAsia" w:ascii="宋体" w:hAnsi="宋体" w:eastAsia="宋体" w:cs="宋体"/>
                <w:sz w:val="21"/>
                <w:szCs w:val="21"/>
                <w:vertAlign w:val="baseline"/>
              </w:rPr>
              <w:t>MFZ/ABC4</w:t>
            </w:r>
          </w:p>
        </w:tc>
        <w:tc>
          <w:tcPr>
            <w:tcW w:w="1283" w:type="dxa"/>
            <w:tcBorders>
              <w:top w:val="nil"/>
              <w:left w:val="nil"/>
              <w:bottom w:val="single" w:color="auto" w:sz="8" w:space="0"/>
              <w:right w:val="single" w:color="auto" w:sz="8" w:space="0"/>
            </w:tcBorders>
            <w:shd w:val="clear" w:color="auto" w:fill="auto"/>
            <w:tcMar>
              <w:top w:w="13" w:type="dxa"/>
              <w:left w:w="13" w:type="dxa"/>
              <w:bottom w:w="0" w:type="dxa"/>
              <w:right w:w="13" w:type="dxa"/>
            </w:tcMar>
            <w:vAlign w:val="center"/>
          </w:tcPr>
          <w:p>
            <w:pPr>
              <w:pStyle w:val="4"/>
              <w:keepNext w:val="0"/>
              <w:keepLines w:val="0"/>
              <w:widowControl/>
              <w:suppressLineNumbers w:val="0"/>
              <w:spacing w:before="0" w:beforeAutospacing="0" w:after="0" w:afterAutospacing="0" w:line="312" w:lineRule="auto"/>
              <w:ind w:left="0" w:right="0"/>
              <w:jc w:val="center"/>
              <w:textAlignment w:val="baseline"/>
            </w:pPr>
            <w:r>
              <w:rPr>
                <w:rFonts w:hint="eastAsia" w:ascii="宋体" w:hAnsi="宋体" w:eastAsia="宋体" w:cs="宋体"/>
                <w:sz w:val="21"/>
                <w:szCs w:val="21"/>
                <w:vertAlign w:val="baseline"/>
              </w:rPr>
              <w:t>2010年1月</w:t>
            </w:r>
          </w:p>
        </w:tc>
        <w:tc>
          <w:tcPr>
            <w:tcW w:w="940" w:type="dxa"/>
            <w:tcBorders>
              <w:top w:val="nil"/>
              <w:left w:val="nil"/>
              <w:bottom w:val="single" w:color="auto" w:sz="8" w:space="0"/>
              <w:right w:val="single" w:color="auto" w:sz="8" w:space="0"/>
            </w:tcBorders>
            <w:shd w:val="clear" w:color="auto" w:fill="auto"/>
            <w:tcMar>
              <w:top w:w="13" w:type="dxa"/>
              <w:left w:w="13" w:type="dxa"/>
              <w:bottom w:w="0" w:type="dxa"/>
              <w:right w:w="13" w:type="dxa"/>
            </w:tcMar>
            <w:vAlign w:val="center"/>
          </w:tcPr>
          <w:p>
            <w:pPr>
              <w:pStyle w:val="4"/>
              <w:keepNext w:val="0"/>
              <w:keepLines w:val="0"/>
              <w:widowControl/>
              <w:suppressLineNumbers w:val="0"/>
              <w:spacing w:before="0" w:beforeAutospacing="0" w:after="0" w:afterAutospacing="0" w:line="312" w:lineRule="auto"/>
              <w:ind w:left="0" w:right="0"/>
              <w:jc w:val="center"/>
              <w:textAlignment w:val="baseline"/>
            </w:pPr>
            <w:r>
              <w:rPr>
                <w:rFonts w:hint="eastAsia" w:ascii="宋体" w:hAnsi="宋体" w:eastAsia="宋体" w:cs="宋体"/>
                <w:sz w:val="21"/>
                <w:szCs w:val="21"/>
                <w:vertAlign w:val="baseline"/>
              </w:rPr>
              <w:t>82</w:t>
            </w:r>
          </w:p>
        </w:tc>
        <w:tc>
          <w:tcPr>
            <w:tcW w:w="1283" w:type="dxa"/>
            <w:tcBorders>
              <w:top w:val="nil"/>
              <w:left w:val="nil"/>
              <w:bottom w:val="single" w:color="auto" w:sz="8" w:space="0"/>
              <w:right w:val="single" w:color="auto" w:sz="8" w:space="0"/>
            </w:tcBorders>
            <w:shd w:val="clear" w:color="auto" w:fill="auto"/>
            <w:tcMar>
              <w:top w:w="13" w:type="dxa"/>
              <w:left w:w="13" w:type="dxa"/>
              <w:bottom w:w="0" w:type="dxa"/>
              <w:right w:w="13" w:type="dxa"/>
            </w:tcMar>
            <w:vAlign w:val="center"/>
          </w:tcPr>
          <w:p>
            <w:pPr>
              <w:pStyle w:val="4"/>
              <w:keepNext w:val="0"/>
              <w:keepLines w:val="0"/>
              <w:widowControl/>
              <w:suppressLineNumbers w:val="0"/>
              <w:spacing w:before="0" w:beforeAutospacing="0" w:after="0" w:afterAutospacing="0" w:line="312" w:lineRule="auto"/>
              <w:ind w:left="0" w:right="0"/>
              <w:jc w:val="center"/>
              <w:textAlignment w:val="baseline"/>
            </w:pPr>
            <w:r>
              <w:rPr>
                <w:rFonts w:hint="eastAsia" w:ascii="宋体" w:hAnsi="宋体" w:eastAsia="宋体" w:cs="宋体"/>
                <w:sz w:val="21"/>
                <w:szCs w:val="21"/>
                <w:vertAlign w:val="baseline"/>
              </w:rPr>
              <w:t>无</w:t>
            </w:r>
          </w:p>
        </w:tc>
        <w:tc>
          <w:tcPr>
            <w:tcW w:w="1220" w:type="dxa"/>
            <w:tcBorders>
              <w:top w:val="nil"/>
              <w:left w:val="nil"/>
              <w:bottom w:val="single" w:color="auto" w:sz="8" w:space="0"/>
              <w:right w:val="single" w:color="auto" w:sz="8" w:space="0"/>
            </w:tcBorders>
            <w:shd w:val="clear" w:color="auto" w:fill="auto"/>
            <w:tcMar>
              <w:top w:w="13" w:type="dxa"/>
              <w:left w:w="13" w:type="dxa"/>
              <w:bottom w:w="0" w:type="dxa"/>
              <w:right w:w="13" w:type="dxa"/>
            </w:tcMar>
            <w:vAlign w:val="center"/>
          </w:tcPr>
          <w:p>
            <w:pPr>
              <w:pStyle w:val="4"/>
              <w:keepNext w:val="0"/>
              <w:keepLines w:val="0"/>
              <w:widowControl/>
              <w:suppressLineNumbers w:val="0"/>
              <w:spacing w:before="0" w:beforeAutospacing="0" w:after="0" w:afterAutospacing="0" w:line="312" w:lineRule="auto"/>
              <w:ind w:left="0" w:right="0"/>
              <w:jc w:val="center"/>
              <w:textAlignment w:val="baseline"/>
            </w:pPr>
            <w:r>
              <w:rPr>
                <w:rFonts w:hint="eastAsia" w:ascii="宋体" w:hAnsi="宋体" w:eastAsia="宋体" w:cs="宋体"/>
                <w:sz w:val="21"/>
                <w:szCs w:val="21"/>
                <w:vertAlign w:val="baseline"/>
              </w:rPr>
              <w:t>2</w:t>
            </w:r>
          </w:p>
        </w:tc>
        <w:tc>
          <w:tcPr>
            <w:tcW w:w="830" w:type="dxa"/>
            <w:tcBorders>
              <w:top w:val="nil"/>
              <w:left w:val="nil"/>
              <w:bottom w:val="single" w:color="auto" w:sz="8" w:space="0"/>
              <w:right w:val="single" w:color="auto" w:sz="8" w:space="0"/>
            </w:tcBorders>
            <w:shd w:val="clear" w:color="auto" w:fill="auto"/>
            <w:tcMar>
              <w:top w:w="13" w:type="dxa"/>
              <w:left w:w="13" w:type="dxa"/>
              <w:bottom w:w="0" w:type="dxa"/>
              <w:right w:w="13" w:type="dxa"/>
            </w:tcMar>
            <w:vAlign w:val="center"/>
          </w:tcPr>
          <w:p>
            <w:pPr>
              <w:pStyle w:val="4"/>
              <w:keepNext w:val="0"/>
              <w:keepLines w:val="0"/>
              <w:widowControl/>
              <w:suppressLineNumbers w:val="0"/>
              <w:spacing w:before="0" w:beforeAutospacing="0" w:after="0" w:afterAutospacing="0" w:line="312" w:lineRule="auto"/>
              <w:ind w:left="0" w:right="0"/>
              <w:jc w:val="center"/>
              <w:textAlignment w:val="baseline"/>
            </w:pPr>
            <w:r>
              <w:rPr>
                <w:rFonts w:hint="eastAsia" w:ascii="宋体" w:hAnsi="宋体" w:eastAsia="宋体" w:cs="宋体"/>
                <w:sz w:val="21"/>
                <w:szCs w:val="21"/>
                <w:vertAlign w:val="baseline"/>
              </w:rPr>
              <w:t>5</w:t>
            </w:r>
          </w:p>
        </w:tc>
        <w:tc>
          <w:tcPr>
            <w:tcW w:w="820" w:type="dxa"/>
            <w:tcBorders>
              <w:top w:val="nil"/>
              <w:left w:val="nil"/>
              <w:bottom w:val="single" w:color="auto" w:sz="8" w:space="0"/>
              <w:right w:val="single" w:color="auto" w:sz="8" w:space="0"/>
            </w:tcBorders>
            <w:shd w:val="clear" w:color="auto" w:fill="auto"/>
            <w:tcMar>
              <w:top w:w="13" w:type="dxa"/>
              <w:left w:w="13" w:type="dxa"/>
              <w:bottom w:w="0" w:type="dxa"/>
              <w:right w:w="13" w:type="dxa"/>
            </w:tcMar>
            <w:vAlign w:val="center"/>
          </w:tcPr>
          <w:p>
            <w:pPr>
              <w:pStyle w:val="4"/>
              <w:keepNext w:val="0"/>
              <w:keepLines w:val="0"/>
              <w:widowControl/>
              <w:suppressLineNumbers w:val="0"/>
              <w:spacing w:before="0" w:beforeAutospacing="0" w:after="0" w:afterAutospacing="0" w:line="312" w:lineRule="auto"/>
              <w:ind w:left="0" w:right="0"/>
              <w:jc w:val="center"/>
              <w:textAlignment w:val="baseline"/>
            </w:pPr>
            <w:r>
              <w:rPr>
                <w:rFonts w:hint="eastAsia" w:ascii="宋体" w:hAnsi="宋体" w:eastAsia="宋体" w:cs="宋体"/>
                <w:sz w:val="21"/>
                <w:szCs w:val="21"/>
                <w:vertAlign w:val="baseline"/>
              </w:rPr>
              <w:t>2</w:t>
            </w:r>
          </w:p>
        </w:tc>
        <w:tc>
          <w:tcPr>
            <w:tcW w:w="820" w:type="dxa"/>
            <w:tcBorders>
              <w:top w:val="nil"/>
              <w:left w:val="nil"/>
              <w:bottom w:val="single" w:color="auto" w:sz="8" w:space="0"/>
              <w:right w:val="single" w:color="auto" w:sz="8" w:space="0"/>
            </w:tcBorders>
            <w:shd w:val="clear" w:color="auto" w:fill="auto"/>
            <w:tcMar>
              <w:top w:w="13" w:type="dxa"/>
              <w:left w:w="13" w:type="dxa"/>
              <w:bottom w:w="0" w:type="dxa"/>
              <w:right w:w="13" w:type="dxa"/>
            </w:tcMar>
            <w:vAlign w:val="center"/>
          </w:tcPr>
          <w:p>
            <w:pPr>
              <w:pStyle w:val="4"/>
              <w:keepNext w:val="0"/>
              <w:keepLines w:val="0"/>
              <w:widowControl/>
              <w:suppressLineNumbers w:val="0"/>
              <w:spacing w:before="0" w:beforeAutospacing="0" w:after="0" w:afterAutospacing="0" w:line="312" w:lineRule="auto"/>
              <w:ind w:left="0" w:right="0"/>
              <w:jc w:val="center"/>
              <w:textAlignment w:val="baseline"/>
            </w:pPr>
            <w:r>
              <w:rPr>
                <w:rFonts w:hint="eastAsia" w:ascii="宋体" w:hAnsi="宋体" w:eastAsia="宋体" w:cs="宋体"/>
                <w:sz w:val="21"/>
                <w:szCs w:val="21"/>
                <w:vertAlign w:val="baseline"/>
              </w:rPr>
              <w:t>0</w:t>
            </w:r>
          </w:p>
        </w:tc>
      </w:tr>
      <w:tr>
        <w:tblPrEx>
          <w:tblLayout w:type="fixed"/>
          <w:tblCellMar>
            <w:top w:w="15" w:type="dxa"/>
            <w:left w:w="15" w:type="dxa"/>
            <w:bottom w:w="15" w:type="dxa"/>
            <w:right w:w="15" w:type="dxa"/>
          </w:tblCellMar>
        </w:tblPrEx>
        <w:trPr>
          <w:trHeight w:val="563" w:hRule="atLeast"/>
        </w:trPr>
        <w:tc>
          <w:tcPr>
            <w:tcW w:w="1120" w:type="dxa"/>
            <w:vMerge w:val="continue"/>
            <w:tcBorders>
              <w:top w:val="nil"/>
              <w:left w:val="single" w:color="auto" w:sz="8" w:space="0"/>
              <w:bottom w:val="single" w:color="auto" w:sz="8" w:space="0"/>
              <w:right w:val="single" w:color="auto" w:sz="8" w:space="0"/>
            </w:tcBorders>
            <w:shd w:val="clear" w:color="auto" w:fill="auto"/>
            <w:tcMar>
              <w:top w:w="13" w:type="dxa"/>
              <w:left w:w="13" w:type="dxa"/>
              <w:bottom w:w="0" w:type="dxa"/>
              <w:right w:w="13" w:type="dxa"/>
            </w:tcMar>
            <w:vAlign w:val="center"/>
          </w:tcPr>
          <w:p>
            <w:pPr>
              <w:rPr>
                <w:rFonts w:hint="eastAsia" w:ascii="宋体"/>
                <w:sz w:val="24"/>
                <w:szCs w:val="24"/>
              </w:rPr>
            </w:pPr>
          </w:p>
        </w:tc>
        <w:tc>
          <w:tcPr>
            <w:tcW w:w="1283" w:type="dxa"/>
            <w:tcBorders>
              <w:top w:val="nil"/>
              <w:left w:val="nil"/>
              <w:bottom w:val="single" w:color="auto" w:sz="8" w:space="0"/>
              <w:right w:val="single" w:color="auto" w:sz="8" w:space="0"/>
            </w:tcBorders>
            <w:shd w:val="clear" w:color="auto" w:fill="auto"/>
            <w:tcMar>
              <w:top w:w="13" w:type="dxa"/>
              <w:left w:w="13" w:type="dxa"/>
              <w:bottom w:w="0" w:type="dxa"/>
              <w:right w:w="13" w:type="dxa"/>
            </w:tcMar>
            <w:vAlign w:val="center"/>
          </w:tcPr>
          <w:p>
            <w:pPr>
              <w:pStyle w:val="4"/>
              <w:keepNext w:val="0"/>
              <w:keepLines w:val="0"/>
              <w:widowControl/>
              <w:suppressLineNumbers w:val="0"/>
              <w:spacing w:before="0" w:beforeAutospacing="0" w:after="0" w:afterAutospacing="0" w:line="312" w:lineRule="auto"/>
              <w:ind w:left="0" w:right="0"/>
              <w:jc w:val="center"/>
              <w:textAlignment w:val="baseline"/>
            </w:pPr>
            <w:r>
              <w:rPr>
                <w:rFonts w:hint="eastAsia" w:ascii="宋体" w:hAnsi="宋体" w:eastAsia="宋体" w:cs="宋体"/>
                <w:sz w:val="21"/>
                <w:szCs w:val="21"/>
                <w:vertAlign w:val="baseline"/>
              </w:rPr>
              <w:t>2010年7月</w:t>
            </w:r>
          </w:p>
        </w:tc>
        <w:tc>
          <w:tcPr>
            <w:tcW w:w="940" w:type="dxa"/>
            <w:tcBorders>
              <w:top w:val="nil"/>
              <w:left w:val="nil"/>
              <w:bottom w:val="single" w:color="auto" w:sz="8" w:space="0"/>
              <w:right w:val="single" w:color="auto" w:sz="8" w:space="0"/>
            </w:tcBorders>
            <w:shd w:val="clear" w:color="auto" w:fill="auto"/>
            <w:tcMar>
              <w:top w:w="13" w:type="dxa"/>
              <w:left w:w="13" w:type="dxa"/>
              <w:bottom w:w="0" w:type="dxa"/>
              <w:right w:w="13" w:type="dxa"/>
            </w:tcMar>
            <w:vAlign w:val="center"/>
          </w:tcPr>
          <w:p>
            <w:pPr>
              <w:pStyle w:val="4"/>
              <w:keepNext w:val="0"/>
              <w:keepLines w:val="0"/>
              <w:widowControl/>
              <w:suppressLineNumbers w:val="0"/>
              <w:spacing w:before="0" w:beforeAutospacing="0" w:after="0" w:afterAutospacing="0" w:line="312" w:lineRule="auto"/>
              <w:ind w:left="0" w:right="0"/>
              <w:jc w:val="center"/>
              <w:textAlignment w:val="baseline"/>
            </w:pPr>
            <w:r>
              <w:rPr>
                <w:rFonts w:hint="eastAsia" w:ascii="宋体" w:hAnsi="宋体" w:eastAsia="宋体" w:cs="宋体"/>
                <w:sz w:val="21"/>
                <w:szCs w:val="21"/>
                <w:vertAlign w:val="baseline"/>
              </w:rPr>
              <w:t>82</w:t>
            </w:r>
          </w:p>
        </w:tc>
        <w:tc>
          <w:tcPr>
            <w:tcW w:w="1283" w:type="dxa"/>
            <w:tcBorders>
              <w:top w:val="nil"/>
              <w:left w:val="nil"/>
              <w:bottom w:val="single" w:color="auto" w:sz="8" w:space="0"/>
              <w:right w:val="single" w:color="auto" w:sz="8" w:space="0"/>
            </w:tcBorders>
            <w:shd w:val="clear" w:color="auto" w:fill="auto"/>
            <w:tcMar>
              <w:top w:w="13" w:type="dxa"/>
              <w:left w:w="13" w:type="dxa"/>
              <w:bottom w:w="0" w:type="dxa"/>
              <w:right w:w="13" w:type="dxa"/>
            </w:tcMar>
            <w:vAlign w:val="center"/>
          </w:tcPr>
          <w:p>
            <w:pPr>
              <w:pStyle w:val="4"/>
              <w:keepNext w:val="0"/>
              <w:keepLines w:val="0"/>
              <w:widowControl/>
              <w:suppressLineNumbers w:val="0"/>
              <w:spacing w:before="0" w:beforeAutospacing="0" w:after="0" w:afterAutospacing="0" w:line="312" w:lineRule="auto"/>
              <w:ind w:left="0" w:right="0"/>
              <w:jc w:val="center"/>
              <w:textAlignment w:val="baseline"/>
            </w:pPr>
            <w:r>
              <w:rPr>
                <w:rFonts w:hint="eastAsia" w:ascii="宋体" w:hAnsi="宋体" w:eastAsia="宋体" w:cs="宋体"/>
                <w:sz w:val="21"/>
                <w:szCs w:val="21"/>
                <w:vertAlign w:val="baseline"/>
              </w:rPr>
              <w:t>无</w:t>
            </w:r>
          </w:p>
        </w:tc>
        <w:tc>
          <w:tcPr>
            <w:tcW w:w="1220" w:type="dxa"/>
            <w:tcBorders>
              <w:top w:val="nil"/>
              <w:left w:val="nil"/>
              <w:bottom w:val="single" w:color="auto" w:sz="8" w:space="0"/>
              <w:right w:val="single" w:color="auto" w:sz="8" w:space="0"/>
            </w:tcBorders>
            <w:shd w:val="clear" w:color="auto" w:fill="auto"/>
            <w:tcMar>
              <w:top w:w="13" w:type="dxa"/>
              <w:left w:w="13" w:type="dxa"/>
              <w:bottom w:w="0" w:type="dxa"/>
              <w:right w:w="13" w:type="dxa"/>
            </w:tcMar>
            <w:vAlign w:val="center"/>
          </w:tcPr>
          <w:p>
            <w:pPr>
              <w:pStyle w:val="4"/>
              <w:keepNext w:val="0"/>
              <w:keepLines w:val="0"/>
              <w:widowControl/>
              <w:suppressLineNumbers w:val="0"/>
              <w:spacing w:before="0" w:beforeAutospacing="0" w:after="0" w:afterAutospacing="0" w:line="312" w:lineRule="auto"/>
              <w:ind w:left="0" w:right="0"/>
              <w:jc w:val="center"/>
              <w:textAlignment w:val="baseline"/>
            </w:pPr>
            <w:r>
              <w:rPr>
                <w:rFonts w:hint="eastAsia" w:ascii="宋体" w:hAnsi="宋体" w:eastAsia="宋体" w:cs="宋体"/>
                <w:sz w:val="21"/>
                <w:szCs w:val="21"/>
                <w:vertAlign w:val="baseline"/>
              </w:rPr>
              <w:t>3</w:t>
            </w:r>
          </w:p>
        </w:tc>
        <w:tc>
          <w:tcPr>
            <w:tcW w:w="830" w:type="dxa"/>
            <w:tcBorders>
              <w:top w:val="nil"/>
              <w:left w:val="nil"/>
              <w:bottom w:val="single" w:color="auto" w:sz="8" w:space="0"/>
              <w:right w:val="single" w:color="auto" w:sz="8" w:space="0"/>
            </w:tcBorders>
            <w:shd w:val="clear" w:color="auto" w:fill="auto"/>
            <w:tcMar>
              <w:top w:w="13" w:type="dxa"/>
              <w:left w:w="13" w:type="dxa"/>
              <w:bottom w:w="0" w:type="dxa"/>
              <w:right w:w="13" w:type="dxa"/>
            </w:tcMar>
            <w:vAlign w:val="center"/>
          </w:tcPr>
          <w:p>
            <w:pPr>
              <w:pStyle w:val="4"/>
              <w:keepNext w:val="0"/>
              <w:keepLines w:val="0"/>
              <w:widowControl/>
              <w:suppressLineNumbers w:val="0"/>
              <w:spacing w:before="0" w:beforeAutospacing="0" w:after="0" w:afterAutospacing="0" w:line="312" w:lineRule="auto"/>
              <w:ind w:left="0" w:right="0"/>
              <w:jc w:val="center"/>
              <w:textAlignment w:val="baseline"/>
            </w:pPr>
            <w:r>
              <w:rPr>
                <w:rFonts w:hint="eastAsia" w:ascii="宋体" w:hAnsi="宋体" w:eastAsia="宋体" w:cs="宋体"/>
                <w:sz w:val="21"/>
                <w:szCs w:val="21"/>
                <w:vertAlign w:val="baseline"/>
              </w:rPr>
              <w:t>3</w:t>
            </w:r>
          </w:p>
        </w:tc>
        <w:tc>
          <w:tcPr>
            <w:tcW w:w="820" w:type="dxa"/>
            <w:tcBorders>
              <w:top w:val="nil"/>
              <w:left w:val="nil"/>
              <w:bottom w:val="single" w:color="auto" w:sz="8" w:space="0"/>
              <w:right w:val="single" w:color="auto" w:sz="8" w:space="0"/>
            </w:tcBorders>
            <w:shd w:val="clear" w:color="auto" w:fill="auto"/>
            <w:tcMar>
              <w:top w:w="13" w:type="dxa"/>
              <w:left w:w="13" w:type="dxa"/>
              <w:bottom w:w="0" w:type="dxa"/>
              <w:right w:w="13" w:type="dxa"/>
            </w:tcMar>
            <w:vAlign w:val="center"/>
          </w:tcPr>
          <w:p>
            <w:pPr>
              <w:pStyle w:val="4"/>
              <w:keepNext w:val="0"/>
              <w:keepLines w:val="0"/>
              <w:widowControl/>
              <w:suppressLineNumbers w:val="0"/>
              <w:spacing w:before="0" w:beforeAutospacing="0" w:after="0" w:afterAutospacing="0" w:line="312" w:lineRule="auto"/>
              <w:ind w:left="0" w:right="0"/>
              <w:jc w:val="center"/>
              <w:textAlignment w:val="baseline"/>
            </w:pPr>
            <w:r>
              <w:rPr>
                <w:rFonts w:hint="eastAsia" w:ascii="宋体" w:hAnsi="宋体" w:eastAsia="宋体" w:cs="宋体"/>
                <w:sz w:val="21"/>
                <w:szCs w:val="21"/>
                <w:vertAlign w:val="baseline"/>
              </w:rPr>
              <w:t>2</w:t>
            </w:r>
          </w:p>
        </w:tc>
        <w:tc>
          <w:tcPr>
            <w:tcW w:w="820" w:type="dxa"/>
            <w:tcBorders>
              <w:top w:val="nil"/>
              <w:left w:val="nil"/>
              <w:bottom w:val="single" w:color="auto" w:sz="8" w:space="0"/>
              <w:right w:val="single" w:color="auto" w:sz="8" w:space="0"/>
            </w:tcBorders>
            <w:shd w:val="clear" w:color="auto" w:fill="auto"/>
            <w:tcMar>
              <w:top w:w="13" w:type="dxa"/>
              <w:left w:w="13" w:type="dxa"/>
              <w:bottom w:w="0" w:type="dxa"/>
              <w:right w:w="13" w:type="dxa"/>
            </w:tcMar>
            <w:vAlign w:val="center"/>
          </w:tcPr>
          <w:p>
            <w:pPr>
              <w:pStyle w:val="4"/>
              <w:keepNext w:val="0"/>
              <w:keepLines w:val="0"/>
              <w:widowControl/>
              <w:suppressLineNumbers w:val="0"/>
              <w:spacing w:before="0" w:beforeAutospacing="0" w:after="0" w:afterAutospacing="0" w:line="312" w:lineRule="auto"/>
              <w:ind w:left="0" w:right="0"/>
              <w:jc w:val="center"/>
              <w:textAlignment w:val="baseline"/>
            </w:pPr>
            <w:r>
              <w:rPr>
                <w:rFonts w:hint="eastAsia" w:ascii="宋体" w:hAnsi="宋体" w:eastAsia="宋体" w:cs="宋体"/>
                <w:sz w:val="21"/>
                <w:szCs w:val="21"/>
                <w:vertAlign w:val="baseline"/>
              </w:rPr>
              <w:t>0</w:t>
            </w:r>
          </w:p>
        </w:tc>
      </w:tr>
      <w:tr>
        <w:tblPrEx>
          <w:shd w:val="clear" w:color="auto" w:fill="auto"/>
          <w:tblLayout w:type="fixed"/>
          <w:tblCellMar>
            <w:top w:w="15" w:type="dxa"/>
            <w:left w:w="15" w:type="dxa"/>
            <w:bottom w:w="15" w:type="dxa"/>
            <w:right w:w="15" w:type="dxa"/>
          </w:tblCellMar>
        </w:tblPrEx>
        <w:trPr>
          <w:trHeight w:val="563" w:hRule="atLeast"/>
        </w:trPr>
        <w:tc>
          <w:tcPr>
            <w:tcW w:w="1120" w:type="dxa"/>
            <w:vMerge w:val="restart"/>
            <w:tcBorders>
              <w:top w:val="nil"/>
              <w:left w:val="single" w:color="auto" w:sz="8" w:space="0"/>
              <w:bottom w:val="single" w:color="auto" w:sz="8" w:space="0"/>
              <w:right w:val="single" w:color="auto" w:sz="8" w:space="0"/>
            </w:tcBorders>
            <w:shd w:val="clear" w:color="auto" w:fill="auto"/>
            <w:tcMar>
              <w:top w:w="13" w:type="dxa"/>
              <w:left w:w="13" w:type="dxa"/>
              <w:bottom w:w="0" w:type="dxa"/>
              <w:right w:w="13" w:type="dxa"/>
            </w:tcMar>
            <w:vAlign w:val="center"/>
          </w:tcPr>
          <w:p>
            <w:pPr>
              <w:pStyle w:val="4"/>
              <w:keepNext w:val="0"/>
              <w:keepLines w:val="0"/>
              <w:widowControl/>
              <w:suppressLineNumbers w:val="0"/>
              <w:spacing w:before="0" w:beforeAutospacing="0" w:after="0" w:afterAutospacing="0" w:line="312" w:lineRule="auto"/>
              <w:ind w:left="0" w:right="0"/>
              <w:jc w:val="center"/>
              <w:textAlignment w:val="baseline"/>
            </w:pPr>
            <w:r>
              <w:rPr>
                <w:rFonts w:hint="eastAsia" w:ascii="宋体" w:hAnsi="宋体" w:eastAsia="宋体" w:cs="宋体"/>
                <w:sz w:val="21"/>
                <w:szCs w:val="21"/>
                <w:vertAlign w:val="baseline"/>
              </w:rPr>
              <w:t>MT5</w:t>
            </w:r>
          </w:p>
        </w:tc>
        <w:tc>
          <w:tcPr>
            <w:tcW w:w="1283" w:type="dxa"/>
            <w:tcBorders>
              <w:top w:val="nil"/>
              <w:left w:val="nil"/>
              <w:bottom w:val="single" w:color="auto" w:sz="8" w:space="0"/>
              <w:right w:val="single" w:color="auto" w:sz="8" w:space="0"/>
            </w:tcBorders>
            <w:shd w:val="clear" w:color="auto" w:fill="auto"/>
            <w:tcMar>
              <w:top w:w="13" w:type="dxa"/>
              <w:left w:w="13" w:type="dxa"/>
              <w:bottom w:w="0" w:type="dxa"/>
              <w:right w:w="13" w:type="dxa"/>
            </w:tcMar>
            <w:vAlign w:val="center"/>
          </w:tcPr>
          <w:p>
            <w:pPr>
              <w:pStyle w:val="4"/>
              <w:keepNext w:val="0"/>
              <w:keepLines w:val="0"/>
              <w:widowControl/>
              <w:suppressLineNumbers w:val="0"/>
              <w:spacing w:before="0" w:beforeAutospacing="0" w:after="0" w:afterAutospacing="0" w:line="312" w:lineRule="auto"/>
              <w:ind w:left="0" w:right="0"/>
              <w:jc w:val="center"/>
              <w:textAlignment w:val="baseline"/>
            </w:pPr>
            <w:r>
              <w:rPr>
                <w:rFonts w:hint="eastAsia" w:ascii="宋体" w:hAnsi="宋体" w:eastAsia="宋体" w:cs="宋体"/>
                <w:sz w:val="21"/>
                <w:szCs w:val="21"/>
                <w:vertAlign w:val="baseline"/>
              </w:rPr>
              <w:t>2003年1月</w:t>
            </w:r>
          </w:p>
        </w:tc>
        <w:tc>
          <w:tcPr>
            <w:tcW w:w="940" w:type="dxa"/>
            <w:tcBorders>
              <w:top w:val="nil"/>
              <w:left w:val="nil"/>
              <w:bottom w:val="single" w:color="auto" w:sz="8" w:space="0"/>
              <w:right w:val="single" w:color="auto" w:sz="8" w:space="0"/>
            </w:tcBorders>
            <w:shd w:val="clear" w:color="auto" w:fill="auto"/>
            <w:tcMar>
              <w:top w:w="13" w:type="dxa"/>
              <w:left w:w="13" w:type="dxa"/>
              <w:bottom w:w="0" w:type="dxa"/>
              <w:right w:w="13" w:type="dxa"/>
            </w:tcMar>
            <w:vAlign w:val="center"/>
          </w:tcPr>
          <w:p>
            <w:pPr>
              <w:pStyle w:val="4"/>
              <w:keepNext w:val="0"/>
              <w:keepLines w:val="0"/>
              <w:widowControl/>
              <w:suppressLineNumbers w:val="0"/>
              <w:spacing w:before="0" w:beforeAutospacing="0" w:after="0" w:afterAutospacing="0" w:line="312" w:lineRule="auto"/>
              <w:ind w:left="0" w:right="0"/>
              <w:jc w:val="center"/>
              <w:textAlignment w:val="baseline"/>
            </w:pPr>
            <w:r>
              <w:rPr>
                <w:rFonts w:hint="eastAsia" w:ascii="宋体" w:hAnsi="宋体" w:eastAsia="宋体" w:cs="宋体"/>
                <w:sz w:val="21"/>
                <w:szCs w:val="21"/>
                <w:vertAlign w:val="baseline"/>
              </w:rPr>
              <w:t>18</w:t>
            </w:r>
          </w:p>
        </w:tc>
        <w:tc>
          <w:tcPr>
            <w:tcW w:w="1283" w:type="dxa"/>
            <w:tcBorders>
              <w:top w:val="nil"/>
              <w:left w:val="nil"/>
              <w:bottom w:val="single" w:color="auto" w:sz="8" w:space="0"/>
              <w:right w:val="single" w:color="auto" w:sz="8" w:space="0"/>
            </w:tcBorders>
            <w:shd w:val="clear" w:color="auto" w:fill="auto"/>
            <w:tcMar>
              <w:top w:w="13" w:type="dxa"/>
              <w:left w:w="13" w:type="dxa"/>
              <w:bottom w:w="0" w:type="dxa"/>
              <w:right w:w="13" w:type="dxa"/>
            </w:tcMar>
            <w:vAlign w:val="center"/>
          </w:tcPr>
          <w:p>
            <w:pPr>
              <w:pStyle w:val="4"/>
              <w:keepNext w:val="0"/>
              <w:keepLines w:val="0"/>
              <w:widowControl/>
              <w:suppressLineNumbers w:val="0"/>
              <w:spacing w:before="0" w:beforeAutospacing="0" w:after="0" w:afterAutospacing="0" w:line="312" w:lineRule="auto"/>
              <w:ind w:left="0" w:right="0"/>
              <w:jc w:val="center"/>
              <w:textAlignment w:val="baseline"/>
            </w:pPr>
            <w:r>
              <w:rPr>
                <w:rFonts w:hint="eastAsia" w:ascii="宋体" w:hAnsi="宋体" w:eastAsia="宋体" w:cs="宋体"/>
                <w:sz w:val="21"/>
                <w:szCs w:val="21"/>
                <w:vertAlign w:val="baseline"/>
              </w:rPr>
              <w:t>2014年1月</w:t>
            </w:r>
          </w:p>
        </w:tc>
        <w:tc>
          <w:tcPr>
            <w:tcW w:w="1220" w:type="dxa"/>
            <w:tcBorders>
              <w:top w:val="nil"/>
              <w:left w:val="nil"/>
              <w:bottom w:val="single" w:color="auto" w:sz="8" w:space="0"/>
              <w:right w:val="single" w:color="auto" w:sz="8" w:space="0"/>
            </w:tcBorders>
            <w:shd w:val="clear" w:color="auto" w:fill="auto"/>
            <w:tcMar>
              <w:top w:w="13" w:type="dxa"/>
              <w:left w:w="13" w:type="dxa"/>
              <w:bottom w:w="0" w:type="dxa"/>
              <w:right w:w="13" w:type="dxa"/>
            </w:tcMar>
            <w:vAlign w:val="center"/>
          </w:tcPr>
          <w:p>
            <w:pPr>
              <w:pStyle w:val="4"/>
              <w:keepNext w:val="0"/>
              <w:keepLines w:val="0"/>
              <w:widowControl/>
              <w:suppressLineNumbers w:val="0"/>
              <w:spacing w:before="0" w:beforeAutospacing="0" w:after="0" w:afterAutospacing="0" w:line="312" w:lineRule="auto"/>
              <w:ind w:left="0" w:right="0"/>
              <w:jc w:val="center"/>
              <w:textAlignment w:val="baseline"/>
            </w:pPr>
            <w:r>
              <w:rPr>
                <w:rFonts w:hint="eastAsia" w:ascii="宋体" w:hAnsi="宋体" w:eastAsia="宋体" w:cs="宋体"/>
                <w:sz w:val="21"/>
                <w:szCs w:val="21"/>
                <w:vertAlign w:val="baseline"/>
              </w:rPr>
              <w:t>0</w:t>
            </w:r>
          </w:p>
        </w:tc>
        <w:tc>
          <w:tcPr>
            <w:tcW w:w="830" w:type="dxa"/>
            <w:tcBorders>
              <w:top w:val="nil"/>
              <w:left w:val="nil"/>
              <w:bottom w:val="single" w:color="auto" w:sz="8" w:space="0"/>
              <w:right w:val="single" w:color="auto" w:sz="8" w:space="0"/>
            </w:tcBorders>
            <w:shd w:val="clear" w:color="auto" w:fill="auto"/>
            <w:tcMar>
              <w:top w:w="13" w:type="dxa"/>
              <w:left w:w="13" w:type="dxa"/>
              <w:bottom w:w="0" w:type="dxa"/>
              <w:right w:w="13" w:type="dxa"/>
            </w:tcMar>
            <w:vAlign w:val="center"/>
          </w:tcPr>
          <w:p>
            <w:pPr>
              <w:pStyle w:val="4"/>
              <w:keepNext w:val="0"/>
              <w:keepLines w:val="0"/>
              <w:widowControl/>
              <w:suppressLineNumbers w:val="0"/>
              <w:spacing w:before="0" w:beforeAutospacing="0" w:after="0" w:afterAutospacing="0" w:line="312" w:lineRule="auto"/>
              <w:ind w:left="0" w:right="0"/>
              <w:jc w:val="center"/>
              <w:textAlignment w:val="baseline"/>
            </w:pPr>
            <w:r>
              <w:rPr>
                <w:rFonts w:hint="eastAsia" w:ascii="宋体" w:hAnsi="宋体" w:eastAsia="宋体" w:cs="宋体"/>
                <w:sz w:val="21"/>
                <w:szCs w:val="21"/>
                <w:vertAlign w:val="baseline"/>
              </w:rPr>
              <w:t>0</w:t>
            </w:r>
          </w:p>
        </w:tc>
        <w:tc>
          <w:tcPr>
            <w:tcW w:w="820" w:type="dxa"/>
            <w:tcBorders>
              <w:top w:val="nil"/>
              <w:left w:val="nil"/>
              <w:bottom w:val="single" w:color="auto" w:sz="8" w:space="0"/>
              <w:right w:val="single" w:color="auto" w:sz="8" w:space="0"/>
            </w:tcBorders>
            <w:shd w:val="clear" w:color="auto" w:fill="auto"/>
            <w:tcMar>
              <w:top w:w="13" w:type="dxa"/>
              <w:left w:w="13" w:type="dxa"/>
              <w:bottom w:w="0" w:type="dxa"/>
              <w:right w:w="13" w:type="dxa"/>
            </w:tcMar>
            <w:vAlign w:val="center"/>
          </w:tcPr>
          <w:p>
            <w:pPr>
              <w:pStyle w:val="4"/>
              <w:keepNext w:val="0"/>
              <w:keepLines w:val="0"/>
              <w:widowControl/>
              <w:suppressLineNumbers w:val="0"/>
              <w:spacing w:before="0" w:beforeAutospacing="0" w:after="0" w:afterAutospacing="0" w:line="312" w:lineRule="auto"/>
              <w:ind w:left="0" w:right="0"/>
              <w:jc w:val="center"/>
              <w:textAlignment w:val="baseline"/>
            </w:pPr>
            <w:r>
              <w:rPr>
                <w:rFonts w:hint="eastAsia" w:ascii="宋体" w:hAnsi="宋体" w:eastAsia="宋体" w:cs="宋体"/>
                <w:sz w:val="21"/>
                <w:szCs w:val="21"/>
                <w:vertAlign w:val="baseline"/>
              </w:rPr>
              <w:t>0</w:t>
            </w:r>
          </w:p>
        </w:tc>
        <w:tc>
          <w:tcPr>
            <w:tcW w:w="820" w:type="dxa"/>
            <w:tcBorders>
              <w:top w:val="nil"/>
              <w:left w:val="nil"/>
              <w:bottom w:val="single" w:color="auto" w:sz="8" w:space="0"/>
              <w:right w:val="single" w:color="auto" w:sz="8" w:space="0"/>
            </w:tcBorders>
            <w:shd w:val="clear" w:color="auto" w:fill="auto"/>
            <w:tcMar>
              <w:top w:w="13" w:type="dxa"/>
              <w:left w:w="13" w:type="dxa"/>
              <w:bottom w:w="0" w:type="dxa"/>
              <w:right w:w="13" w:type="dxa"/>
            </w:tcMar>
            <w:vAlign w:val="center"/>
          </w:tcPr>
          <w:p>
            <w:pPr>
              <w:pStyle w:val="4"/>
              <w:keepNext w:val="0"/>
              <w:keepLines w:val="0"/>
              <w:widowControl/>
              <w:suppressLineNumbers w:val="0"/>
              <w:spacing w:before="0" w:beforeAutospacing="0" w:after="0" w:afterAutospacing="0" w:line="312" w:lineRule="auto"/>
              <w:ind w:left="0" w:right="0"/>
              <w:jc w:val="center"/>
              <w:textAlignment w:val="baseline"/>
            </w:pPr>
            <w:r>
              <w:rPr>
                <w:rFonts w:hint="eastAsia" w:ascii="宋体" w:hAnsi="宋体" w:eastAsia="宋体" w:cs="宋体"/>
                <w:sz w:val="21"/>
                <w:szCs w:val="21"/>
                <w:vertAlign w:val="baseline"/>
              </w:rPr>
              <w:t>2</w:t>
            </w:r>
          </w:p>
        </w:tc>
      </w:tr>
      <w:tr>
        <w:tblPrEx>
          <w:shd w:val="clear" w:color="auto" w:fill="auto"/>
          <w:tblLayout w:type="fixed"/>
          <w:tblCellMar>
            <w:top w:w="15" w:type="dxa"/>
            <w:left w:w="15" w:type="dxa"/>
            <w:bottom w:w="15" w:type="dxa"/>
            <w:right w:w="15" w:type="dxa"/>
          </w:tblCellMar>
        </w:tblPrEx>
        <w:trPr>
          <w:trHeight w:val="563" w:hRule="atLeast"/>
        </w:trPr>
        <w:tc>
          <w:tcPr>
            <w:tcW w:w="1120" w:type="dxa"/>
            <w:vMerge w:val="continue"/>
            <w:tcBorders>
              <w:top w:val="nil"/>
              <w:left w:val="single" w:color="auto" w:sz="8" w:space="0"/>
              <w:bottom w:val="single" w:color="auto" w:sz="8" w:space="0"/>
              <w:right w:val="single" w:color="auto" w:sz="8" w:space="0"/>
            </w:tcBorders>
            <w:shd w:val="clear" w:color="auto" w:fill="auto"/>
            <w:tcMar>
              <w:top w:w="13" w:type="dxa"/>
              <w:left w:w="13" w:type="dxa"/>
              <w:bottom w:w="0" w:type="dxa"/>
              <w:right w:w="13" w:type="dxa"/>
            </w:tcMar>
            <w:vAlign w:val="center"/>
          </w:tcPr>
          <w:p>
            <w:pPr>
              <w:rPr>
                <w:rFonts w:hint="eastAsia" w:ascii="宋体"/>
                <w:sz w:val="24"/>
                <w:szCs w:val="24"/>
              </w:rPr>
            </w:pPr>
          </w:p>
        </w:tc>
        <w:tc>
          <w:tcPr>
            <w:tcW w:w="1283" w:type="dxa"/>
            <w:tcBorders>
              <w:top w:val="nil"/>
              <w:left w:val="nil"/>
              <w:bottom w:val="single" w:color="auto" w:sz="8" w:space="0"/>
              <w:right w:val="single" w:color="auto" w:sz="8" w:space="0"/>
            </w:tcBorders>
            <w:shd w:val="clear" w:color="auto" w:fill="auto"/>
            <w:tcMar>
              <w:top w:w="13" w:type="dxa"/>
              <w:left w:w="13" w:type="dxa"/>
              <w:bottom w:w="0" w:type="dxa"/>
              <w:right w:w="13" w:type="dxa"/>
            </w:tcMar>
            <w:vAlign w:val="center"/>
          </w:tcPr>
          <w:p>
            <w:pPr>
              <w:pStyle w:val="4"/>
              <w:keepNext w:val="0"/>
              <w:keepLines w:val="0"/>
              <w:widowControl/>
              <w:suppressLineNumbers w:val="0"/>
              <w:spacing w:before="0" w:beforeAutospacing="0" w:after="0" w:afterAutospacing="0" w:line="312" w:lineRule="auto"/>
              <w:ind w:left="0" w:right="0"/>
              <w:jc w:val="center"/>
              <w:textAlignment w:val="baseline"/>
            </w:pPr>
            <w:r>
              <w:rPr>
                <w:rFonts w:hint="eastAsia" w:ascii="宋体" w:hAnsi="宋体" w:eastAsia="宋体" w:cs="宋体"/>
                <w:sz w:val="21"/>
                <w:szCs w:val="21"/>
                <w:vertAlign w:val="baseline"/>
              </w:rPr>
              <w:t>2003年7月</w:t>
            </w:r>
          </w:p>
        </w:tc>
        <w:tc>
          <w:tcPr>
            <w:tcW w:w="940" w:type="dxa"/>
            <w:tcBorders>
              <w:top w:val="nil"/>
              <w:left w:val="nil"/>
              <w:bottom w:val="single" w:color="auto" w:sz="8" w:space="0"/>
              <w:right w:val="single" w:color="auto" w:sz="8" w:space="0"/>
            </w:tcBorders>
            <w:shd w:val="clear" w:color="auto" w:fill="auto"/>
            <w:tcMar>
              <w:top w:w="13" w:type="dxa"/>
              <w:left w:w="13" w:type="dxa"/>
              <w:bottom w:w="0" w:type="dxa"/>
              <w:right w:w="13" w:type="dxa"/>
            </w:tcMar>
            <w:vAlign w:val="center"/>
          </w:tcPr>
          <w:p>
            <w:pPr>
              <w:pStyle w:val="4"/>
              <w:keepNext w:val="0"/>
              <w:keepLines w:val="0"/>
              <w:widowControl/>
              <w:suppressLineNumbers w:val="0"/>
              <w:spacing w:before="0" w:beforeAutospacing="0" w:after="0" w:afterAutospacing="0" w:line="312" w:lineRule="auto"/>
              <w:ind w:left="0" w:right="0"/>
              <w:jc w:val="center"/>
              <w:textAlignment w:val="baseline"/>
            </w:pPr>
            <w:r>
              <w:rPr>
                <w:rFonts w:hint="eastAsia" w:ascii="宋体" w:hAnsi="宋体" w:eastAsia="宋体" w:cs="宋体"/>
                <w:sz w:val="21"/>
                <w:szCs w:val="21"/>
                <w:vertAlign w:val="baseline"/>
              </w:rPr>
              <w:t>18</w:t>
            </w:r>
          </w:p>
        </w:tc>
        <w:tc>
          <w:tcPr>
            <w:tcW w:w="1283" w:type="dxa"/>
            <w:tcBorders>
              <w:top w:val="nil"/>
              <w:left w:val="nil"/>
              <w:bottom w:val="single" w:color="auto" w:sz="8" w:space="0"/>
              <w:right w:val="single" w:color="auto" w:sz="8" w:space="0"/>
            </w:tcBorders>
            <w:shd w:val="clear" w:color="auto" w:fill="auto"/>
            <w:tcMar>
              <w:top w:w="13" w:type="dxa"/>
              <w:left w:w="13" w:type="dxa"/>
              <w:bottom w:w="0" w:type="dxa"/>
              <w:right w:w="13" w:type="dxa"/>
            </w:tcMar>
            <w:vAlign w:val="center"/>
          </w:tcPr>
          <w:p>
            <w:pPr>
              <w:pStyle w:val="4"/>
              <w:keepNext w:val="0"/>
              <w:keepLines w:val="0"/>
              <w:widowControl/>
              <w:suppressLineNumbers w:val="0"/>
              <w:spacing w:before="0" w:beforeAutospacing="0" w:after="0" w:afterAutospacing="0" w:line="312" w:lineRule="auto"/>
              <w:ind w:left="0" w:right="0"/>
              <w:jc w:val="center"/>
              <w:textAlignment w:val="baseline"/>
            </w:pPr>
            <w:r>
              <w:rPr>
                <w:rFonts w:hint="eastAsia" w:ascii="宋体" w:hAnsi="宋体" w:eastAsia="宋体" w:cs="宋体"/>
                <w:sz w:val="21"/>
                <w:szCs w:val="21"/>
                <w:vertAlign w:val="baseline"/>
              </w:rPr>
              <w:t>2014年7月</w:t>
            </w:r>
          </w:p>
        </w:tc>
        <w:tc>
          <w:tcPr>
            <w:tcW w:w="1220" w:type="dxa"/>
            <w:tcBorders>
              <w:top w:val="nil"/>
              <w:left w:val="nil"/>
              <w:bottom w:val="single" w:color="auto" w:sz="8" w:space="0"/>
              <w:right w:val="single" w:color="auto" w:sz="8" w:space="0"/>
            </w:tcBorders>
            <w:shd w:val="clear" w:color="auto" w:fill="auto"/>
            <w:tcMar>
              <w:top w:w="13" w:type="dxa"/>
              <w:left w:w="13" w:type="dxa"/>
              <w:bottom w:w="0" w:type="dxa"/>
              <w:right w:w="13" w:type="dxa"/>
            </w:tcMar>
            <w:vAlign w:val="center"/>
          </w:tcPr>
          <w:p>
            <w:pPr>
              <w:pStyle w:val="4"/>
              <w:keepNext w:val="0"/>
              <w:keepLines w:val="0"/>
              <w:widowControl/>
              <w:suppressLineNumbers w:val="0"/>
              <w:spacing w:before="0" w:beforeAutospacing="0" w:after="0" w:afterAutospacing="0" w:line="312" w:lineRule="auto"/>
              <w:ind w:left="0" w:right="0"/>
              <w:jc w:val="center"/>
              <w:textAlignment w:val="baseline"/>
            </w:pPr>
            <w:r>
              <w:rPr>
                <w:rFonts w:hint="eastAsia" w:ascii="宋体" w:hAnsi="宋体" w:eastAsia="宋体" w:cs="宋体"/>
                <w:sz w:val="21"/>
                <w:szCs w:val="21"/>
                <w:vertAlign w:val="baseline"/>
              </w:rPr>
              <w:t>0</w:t>
            </w:r>
          </w:p>
        </w:tc>
        <w:tc>
          <w:tcPr>
            <w:tcW w:w="830" w:type="dxa"/>
            <w:tcBorders>
              <w:top w:val="nil"/>
              <w:left w:val="nil"/>
              <w:bottom w:val="single" w:color="auto" w:sz="8" w:space="0"/>
              <w:right w:val="single" w:color="auto" w:sz="8" w:space="0"/>
            </w:tcBorders>
            <w:shd w:val="clear" w:color="auto" w:fill="auto"/>
            <w:tcMar>
              <w:top w:w="13" w:type="dxa"/>
              <w:left w:w="13" w:type="dxa"/>
              <w:bottom w:w="0" w:type="dxa"/>
              <w:right w:w="13" w:type="dxa"/>
            </w:tcMar>
            <w:vAlign w:val="center"/>
          </w:tcPr>
          <w:p>
            <w:pPr>
              <w:pStyle w:val="4"/>
              <w:keepNext w:val="0"/>
              <w:keepLines w:val="0"/>
              <w:widowControl/>
              <w:suppressLineNumbers w:val="0"/>
              <w:spacing w:before="0" w:beforeAutospacing="0" w:after="0" w:afterAutospacing="0" w:line="312" w:lineRule="auto"/>
              <w:ind w:left="0" w:right="0"/>
              <w:jc w:val="center"/>
              <w:textAlignment w:val="baseline"/>
            </w:pPr>
            <w:r>
              <w:rPr>
                <w:rFonts w:hint="eastAsia" w:ascii="宋体" w:hAnsi="宋体" w:eastAsia="宋体" w:cs="宋体"/>
                <w:sz w:val="21"/>
                <w:szCs w:val="21"/>
                <w:vertAlign w:val="baseline"/>
              </w:rPr>
              <w:t>0</w:t>
            </w:r>
          </w:p>
        </w:tc>
        <w:tc>
          <w:tcPr>
            <w:tcW w:w="820" w:type="dxa"/>
            <w:tcBorders>
              <w:top w:val="nil"/>
              <w:left w:val="nil"/>
              <w:bottom w:val="single" w:color="auto" w:sz="8" w:space="0"/>
              <w:right w:val="single" w:color="auto" w:sz="8" w:space="0"/>
            </w:tcBorders>
            <w:shd w:val="clear" w:color="auto" w:fill="auto"/>
            <w:tcMar>
              <w:top w:w="13" w:type="dxa"/>
              <w:left w:w="13" w:type="dxa"/>
              <w:bottom w:w="0" w:type="dxa"/>
              <w:right w:w="13" w:type="dxa"/>
            </w:tcMar>
            <w:vAlign w:val="center"/>
          </w:tcPr>
          <w:p>
            <w:pPr>
              <w:pStyle w:val="4"/>
              <w:keepNext w:val="0"/>
              <w:keepLines w:val="0"/>
              <w:widowControl/>
              <w:suppressLineNumbers w:val="0"/>
              <w:spacing w:before="0" w:beforeAutospacing="0" w:after="0" w:afterAutospacing="0" w:line="312" w:lineRule="auto"/>
              <w:ind w:left="0" w:right="0"/>
              <w:jc w:val="center"/>
              <w:textAlignment w:val="baseline"/>
            </w:pPr>
            <w:r>
              <w:rPr>
                <w:rFonts w:hint="eastAsia" w:ascii="宋体" w:hAnsi="宋体" w:eastAsia="宋体" w:cs="宋体"/>
                <w:sz w:val="21"/>
                <w:szCs w:val="21"/>
                <w:vertAlign w:val="baseline"/>
              </w:rPr>
              <w:t>0</w:t>
            </w:r>
          </w:p>
        </w:tc>
        <w:tc>
          <w:tcPr>
            <w:tcW w:w="820" w:type="dxa"/>
            <w:tcBorders>
              <w:top w:val="nil"/>
              <w:left w:val="nil"/>
              <w:bottom w:val="single" w:color="auto" w:sz="8" w:space="0"/>
              <w:right w:val="single" w:color="auto" w:sz="8" w:space="0"/>
            </w:tcBorders>
            <w:shd w:val="clear" w:color="auto" w:fill="auto"/>
            <w:tcMar>
              <w:top w:w="13" w:type="dxa"/>
              <w:left w:w="13" w:type="dxa"/>
              <w:bottom w:w="0" w:type="dxa"/>
              <w:right w:w="13" w:type="dxa"/>
            </w:tcMar>
            <w:vAlign w:val="center"/>
          </w:tcPr>
          <w:p>
            <w:pPr>
              <w:pStyle w:val="4"/>
              <w:keepNext w:val="0"/>
              <w:keepLines w:val="0"/>
              <w:widowControl/>
              <w:suppressLineNumbers w:val="0"/>
              <w:spacing w:before="0" w:beforeAutospacing="0" w:after="0" w:afterAutospacing="0" w:line="312" w:lineRule="auto"/>
              <w:ind w:left="0" w:right="0"/>
              <w:jc w:val="center"/>
              <w:textAlignment w:val="baseline"/>
            </w:pPr>
            <w:r>
              <w:rPr>
                <w:rFonts w:hint="eastAsia" w:ascii="宋体" w:hAnsi="宋体" w:eastAsia="宋体" w:cs="宋体"/>
                <w:sz w:val="21"/>
                <w:szCs w:val="21"/>
                <w:vertAlign w:val="baseline"/>
              </w:rPr>
              <w:t>1</w:t>
            </w:r>
          </w:p>
        </w:tc>
      </w:tr>
    </w:tbl>
    <w:p>
      <w:pPr>
        <w:pStyle w:val="4"/>
        <w:keepNext w:val="0"/>
        <w:keepLines w:val="0"/>
        <w:widowControl/>
        <w:suppressLineNumbers w:val="0"/>
        <w:spacing w:before="0" w:beforeAutospacing="0" w:after="15" w:afterAutospacing="0"/>
        <w:ind w:left="0" w:right="0"/>
        <w:jc w:val="left"/>
      </w:pPr>
      <w:r>
        <w:rPr>
          <w:rFonts w:hint="eastAsia" w:ascii="宋体" w:hAnsi="宋体" w:eastAsia="宋体" w:cs="宋体"/>
          <w:sz w:val="21"/>
          <w:szCs w:val="21"/>
        </w:rPr>
        <w:t>（二）湿式自动喷水灭火系统功能测试情况</w:t>
      </w:r>
    </w:p>
    <w:p>
      <w:pPr>
        <w:pStyle w:val="4"/>
        <w:keepNext w:val="0"/>
        <w:keepLines w:val="0"/>
        <w:widowControl/>
        <w:suppressLineNumbers w:val="0"/>
        <w:spacing w:before="0" w:beforeAutospacing="0" w:after="15" w:afterAutospacing="0"/>
        <w:ind w:left="0" w:right="0"/>
        <w:jc w:val="left"/>
      </w:pPr>
      <w:r>
        <w:rPr>
          <w:rFonts w:hint="eastAsia" w:ascii="宋体" w:hAnsi="宋体" w:eastAsia="宋体" w:cs="宋体"/>
          <w:sz w:val="21"/>
          <w:szCs w:val="21"/>
        </w:rPr>
        <w:t>打开湿式报警阀组上的试验阀，水力警铃动作，按规定方法测量水利警铃声强为65dB，火灾报警控制器（联动型）接收到报警阀组压力开关动作信号，自动喷水给水泵未启动。</w:t>
      </w:r>
    </w:p>
    <w:p>
      <w:pPr>
        <w:pStyle w:val="4"/>
        <w:keepNext w:val="0"/>
        <w:keepLines w:val="0"/>
        <w:widowControl/>
        <w:suppressLineNumbers w:val="0"/>
        <w:spacing w:before="0" w:beforeAutospacing="0" w:after="15" w:afterAutospacing="0"/>
        <w:ind w:left="0" w:right="0"/>
        <w:jc w:val="left"/>
      </w:pPr>
      <w:r>
        <w:rPr>
          <w:rFonts w:hint="eastAsia" w:ascii="宋体" w:hAnsi="宋体" w:eastAsia="宋体" w:cs="宋体"/>
          <w:sz w:val="21"/>
          <w:szCs w:val="21"/>
        </w:rPr>
        <w:t>（三）七氟丙烷灭火系统检查情况</w:t>
      </w:r>
    </w:p>
    <w:p>
      <w:pPr>
        <w:pStyle w:val="4"/>
        <w:keepNext w:val="0"/>
        <w:keepLines w:val="0"/>
        <w:widowControl/>
        <w:suppressLineNumbers w:val="0"/>
        <w:spacing w:before="0" w:beforeAutospacing="0" w:after="15" w:afterAutospacing="0"/>
        <w:ind w:left="0" w:right="0"/>
        <w:jc w:val="left"/>
      </w:pPr>
      <w:r>
        <w:rPr>
          <w:rFonts w:hint="eastAsia" w:ascii="宋体" w:hAnsi="宋体" w:eastAsia="宋体" w:cs="宋体"/>
          <w:sz w:val="21"/>
          <w:szCs w:val="21"/>
        </w:rPr>
        <w:t>信息中心的通信机房设有七氟丙烷灭火系统（如图1所示），系统设置情况如表2所示，检查发现，储瓶间2#灭火剂储瓶的压力表显示压力为设计储存压力的85%，系统存在组件缺失的问题。</w:t>
      </w:r>
    </w:p>
    <w:p>
      <w:pPr>
        <w:pStyle w:val="4"/>
        <w:keepNext w:val="0"/>
        <w:keepLines w:val="0"/>
        <w:widowControl/>
        <w:suppressLineNumbers w:val="0"/>
        <w:spacing w:before="0" w:beforeAutospacing="0" w:after="15" w:afterAutospacing="0"/>
        <w:ind w:left="0" w:right="0"/>
        <w:jc w:val="left"/>
      </w:pPr>
      <w:r>
        <w:rPr>
          <w:rFonts w:hint="eastAsia" w:ascii="宋体" w:hAnsi="宋体" w:eastAsia="宋体" w:cs="宋体"/>
          <w:sz w:val="21"/>
          <w:szCs w:val="21"/>
        </w:rPr>
        <w:t>检查结束后，该单位安保部委托专业维修单位对气体灭火设备进行了维修。维修单位派人到现场，焊接了缺失组件的底座，并安装了缺失组件，对2#灭火剂储瓶补压至设计压力。</w:t>
      </w:r>
    </w:p>
    <w:p>
      <w:pPr>
        <w:pStyle w:val="4"/>
        <w:keepNext w:val="0"/>
        <w:keepLines w:val="0"/>
        <w:widowControl/>
        <w:suppressLineNumbers w:val="0"/>
        <w:spacing w:before="0" w:beforeAutospacing="0" w:after="15" w:afterAutospacing="0"/>
        <w:ind w:left="0" w:right="0"/>
        <w:jc w:val="left"/>
      </w:pPr>
      <w:r>
        <w:rPr>
          <w:rFonts w:hint="eastAsia" w:ascii="宋体" w:hAnsi="宋体" w:eastAsia="宋体" w:cs="宋体"/>
          <w:sz w:val="21"/>
          <w:szCs w:val="21"/>
        </w:rPr>
        <w:t>             表2 七氟丙烷灭火系统设置情况</w:t>
      </w:r>
    </w:p>
    <w:tbl>
      <w:tblPr>
        <w:tblStyle w:val="5"/>
        <w:tblW w:w="5880" w:type="dxa"/>
        <w:tblInd w:w="96" w:type="dxa"/>
        <w:shd w:val="clear" w:color="auto" w:fill="auto"/>
        <w:tblLayout w:type="fixed"/>
        <w:tblCellMar>
          <w:top w:w="15" w:type="dxa"/>
          <w:left w:w="15" w:type="dxa"/>
          <w:bottom w:w="15" w:type="dxa"/>
          <w:right w:w="15" w:type="dxa"/>
        </w:tblCellMar>
      </w:tblPr>
      <w:tblGrid>
        <w:gridCol w:w="390"/>
        <w:gridCol w:w="810"/>
        <w:gridCol w:w="810"/>
        <w:gridCol w:w="810"/>
        <w:gridCol w:w="1020"/>
        <w:gridCol w:w="1020"/>
        <w:gridCol w:w="1020"/>
      </w:tblGrid>
      <w:tr>
        <w:tblPrEx>
          <w:shd w:val="clear" w:color="auto" w:fill="auto"/>
          <w:tblLayout w:type="fixed"/>
          <w:tblCellMar>
            <w:top w:w="15" w:type="dxa"/>
            <w:left w:w="15" w:type="dxa"/>
            <w:bottom w:w="15" w:type="dxa"/>
            <w:right w:w="15" w:type="dxa"/>
          </w:tblCellMar>
        </w:tblPrEx>
        <w:trPr>
          <w:trHeight w:val="1440" w:hRule="atLeast"/>
        </w:trPr>
        <w:tc>
          <w:tcPr>
            <w:tcW w:w="390" w:type="dxa"/>
            <w:tcBorders>
              <w:top w:val="single" w:color="auto" w:sz="8" w:space="0"/>
              <w:left w:val="single" w:color="auto" w:sz="8" w:space="0"/>
              <w:bottom w:val="single" w:color="auto" w:sz="8" w:space="0"/>
              <w:right w:val="single" w:color="auto" w:sz="8" w:space="0"/>
            </w:tcBorders>
            <w:shd w:val="clear" w:color="auto" w:fill="auto"/>
            <w:tcMar>
              <w:top w:w="13" w:type="dxa"/>
              <w:left w:w="13" w:type="dxa"/>
              <w:bottom w:w="0" w:type="dxa"/>
              <w:right w:w="13" w:type="dxa"/>
            </w:tcMar>
            <w:vAlign w:val="center"/>
          </w:tcPr>
          <w:p>
            <w:pPr>
              <w:pStyle w:val="4"/>
              <w:keepNext w:val="0"/>
              <w:keepLines w:val="0"/>
              <w:widowControl/>
              <w:suppressLineNumbers w:val="0"/>
              <w:spacing w:before="0" w:beforeAutospacing="0" w:after="0" w:afterAutospacing="0"/>
              <w:ind w:left="0" w:right="0"/>
              <w:jc w:val="center"/>
              <w:textAlignment w:val="baseline"/>
            </w:pPr>
            <w:r>
              <w:rPr>
                <w:rFonts w:hint="eastAsia" w:ascii="宋体" w:hAnsi="宋体" w:eastAsia="宋体" w:cs="宋体"/>
                <w:sz w:val="21"/>
                <w:szCs w:val="21"/>
                <w:vertAlign w:val="baseline"/>
              </w:rPr>
              <w:t>防</w:t>
            </w:r>
          </w:p>
          <w:p>
            <w:pPr>
              <w:pStyle w:val="4"/>
              <w:keepNext w:val="0"/>
              <w:keepLines w:val="0"/>
              <w:widowControl/>
              <w:suppressLineNumbers w:val="0"/>
              <w:spacing w:before="0" w:beforeAutospacing="0" w:after="0" w:afterAutospacing="0"/>
              <w:ind w:left="0" w:right="0"/>
              <w:jc w:val="center"/>
              <w:textAlignment w:val="baseline"/>
            </w:pPr>
            <w:r>
              <w:rPr>
                <w:rFonts w:hint="eastAsia" w:ascii="宋体" w:hAnsi="宋体" w:eastAsia="宋体" w:cs="宋体"/>
                <w:sz w:val="21"/>
                <w:szCs w:val="21"/>
                <w:vertAlign w:val="baseline"/>
              </w:rPr>
              <w:t>护</w:t>
            </w:r>
          </w:p>
          <w:p>
            <w:pPr>
              <w:pStyle w:val="4"/>
              <w:keepNext w:val="0"/>
              <w:keepLines w:val="0"/>
              <w:widowControl/>
              <w:suppressLineNumbers w:val="0"/>
              <w:spacing w:before="0" w:beforeAutospacing="0" w:after="0" w:afterAutospacing="0"/>
              <w:ind w:left="0" w:right="0"/>
              <w:jc w:val="center"/>
              <w:textAlignment w:val="baseline"/>
            </w:pPr>
            <w:r>
              <w:rPr>
                <w:rFonts w:hint="eastAsia" w:ascii="宋体" w:hAnsi="宋体" w:eastAsia="宋体" w:cs="宋体"/>
                <w:sz w:val="21"/>
                <w:szCs w:val="21"/>
                <w:vertAlign w:val="baseline"/>
              </w:rPr>
              <w:t>区</w:t>
            </w:r>
          </w:p>
        </w:tc>
        <w:tc>
          <w:tcPr>
            <w:tcW w:w="810" w:type="dxa"/>
            <w:tcBorders>
              <w:top w:val="single" w:color="auto" w:sz="8" w:space="0"/>
              <w:left w:val="nil"/>
              <w:bottom w:val="single" w:color="auto" w:sz="8" w:space="0"/>
              <w:right w:val="single" w:color="auto" w:sz="8" w:space="0"/>
            </w:tcBorders>
            <w:shd w:val="clear" w:color="auto" w:fill="auto"/>
            <w:tcMar>
              <w:top w:w="13" w:type="dxa"/>
              <w:left w:w="13" w:type="dxa"/>
              <w:bottom w:w="0" w:type="dxa"/>
              <w:right w:w="13" w:type="dxa"/>
            </w:tcMar>
            <w:vAlign w:val="center"/>
          </w:tcPr>
          <w:p>
            <w:pPr>
              <w:pStyle w:val="4"/>
              <w:keepNext w:val="0"/>
              <w:keepLines w:val="0"/>
              <w:widowControl/>
              <w:suppressLineNumbers w:val="0"/>
              <w:spacing w:before="0" w:beforeAutospacing="0" w:after="0" w:afterAutospacing="0"/>
              <w:ind w:left="0" w:right="0"/>
              <w:jc w:val="center"/>
              <w:textAlignment w:val="baseline"/>
            </w:pPr>
            <w:r>
              <w:rPr>
                <w:rFonts w:hint="eastAsia" w:ascii="宋体" w:hAnsi="宋体" w:eastAsia="宋体" w:cs="宋体"/>
                <w:sz w:val="21"/>
                <w:szCs w:val="21"/>
                <w:vertAlign w:val="baseline"/>
              </w:rPr>
              <w:t>防护区</w:t>
            </w:r>
          </w:p>
          <w:p>
            <w:pPr>
              <w:pStyle w:val="4"/>
              <w:keepNext w:val="0"/>
              <w:keepLines w:val="0"/>
              <w:widowControl/>
              <w:suppressLineNumbers w:val="0"/>
              <w:spacing w:before="0" w:beforeAutospacing="0" w:after="0" w:afterAutospacing="0"/>
              <w:ind w:left="0" w:right="0"/>
              <w:jc w:val="center"/>
              <w:textAlignment w:val="baseline"/>
            </w:pPr>
            <w:r>
              <w:rPr>
                <w:rFonts w:hint="eastAsia" w:ascii="宋体" w:hAnsi="宋体" w:eastAsia="宋体" w:cs="宋体"/>
                <w:sz w:val="21"/>
                <w:szCs w:val="21"/>
                <w:vertAlign w:val="baseline"/>
              </w:rPr>
              <w:t>容积</w:t>
            </w:r>
          </w:p>
          <w:p>
            <w:pPr>
              <w:pStyle w:val="4"/>
              <w:keepNext w:val="0"/>
              <w:keepLines w:val="0"/>
              <w:widowControl/>
              <w:suppressLineNumbers w:val="0"/>
              <w:spacing w:before="0" w:beforeAutospacing="0" w:after="0" w:afterAutospacing="0"/>
              <w:ind w:left="0" w:right="0"/>
              <w:jc w:val="center"/>
              <w:textAlignment w:val="baseline"/>
            </w:pPr>
            <w:r>
              <w:rPr>
                <w:rFonts w:hint="eastAsia" w:ascii="宋体" w:hAnsi="宋体" w:eastAsia="宋体" w:cs="宋体"/>
                <w:sz w:val="21"/>
                <w:szCs w:val="21"/>
                <w:vertAlign w:val="baseline"/>
              </w:rPr>
              <w:t>（m3）</w:t>
            </w:r>
          </w:p>
        </w:tc>
        <w:tc>
          <w:tcPr>
            <w:tcW w:w="810" w:type="dxa"/>
            <w:tcBorders>
              <w:top w:val="single" w:color="auto" w:sz="8" w:space="0"/>
              <w:left w:val="nil"/>
              <w:bottom w:val="single" w:color="auto" w:sz="8" w:space="0"/>
              <w:right w:val="single" w:color="auto" w:sz="8" w:space="0"/>
            </w:tcBorders>
            <w:shd w:val="clear" w:color="auto" w:fill="auto"/>
            <w:tcMar>
              <w:top w:w="13" w:type="dxa"/>
              <w:left w:w="13" w:type="dxa"/>
              <w:bottom w:w="0" w:type="dxa"/>
              <w:right w:w="13" w:type="dxa"/>
            </w:tcMar>
            <w:vAlign w:val="center"/>
          </w:tcPr>
          <w:p>
            <w:pPr>
              <w:pStyle w:val="4"/>
              <w:keepNext w:val="0"/>
              <w:keepLines w:val="0"/>
              <w:widowControl/>
              <w:suppressLineNumbers w:val="0"/>
              <w:spacing w:before="0" w:beforeAutospacing="0" w:after="0" w:afterAutospacing="0"/>
              <w:ind w:left="0" w:right="0"/>
              <w:jc w:val="center"/>
              <w:textAlignment w:val="baseline"/>
            </w:pPr>
            <w:r>
              <w:rPr>
                <w:rFonts w:hint="eastAsia" w:ascii="宋体" w:hAnsi="宋体" w:eastAsia="宋体" w:cs="宋体"/>
                <w:sz w:val="21"/>
                <w:szCs w:val="21"/>
                <w:vertAlign w:val="baseline"/>
              </w:rPr>
              <w:t>灭火设</w:t>
            </w:r>
          </w:p>
          <w:p>
            <w:pPr>
              <w:pStyle w:val="4"/>
              <w:keepNext w:val="0"/>
              <w:keepLines w:val="0"/>
              <w:widowControl/>
              <w:suppressLineNumbers w:val="0"/>
              <w:spacing w:before="0" w:beforeAutospacing="0" w:after="0" w:afterAutospacing="0"/>
              <w:ind w:left="0" w:right="0"/>
              <w:jc w:val="center"/>
              <w:textAlignment w:val="baseline"/>
            </w:pPr>
            <w:r>
              <w:rPr>
                <w:rFonts w:hint="eastAsia" w:ascii="宋体" w:hAnsi="宋体" w:eastAsia="宋体" w:cs="宋体"/>
                <w:sz w:val="21"/>
                <w:szCs w:val="21"/>
                <w:vertAlign w:val="baseline"/>
              </w:rPr>
              <w:t>计浓度</w:t>
            </w:r>
          </w:p>
          <w:p>
            <w:pPr>
              <w:pStyle w:val="4"/>
              <w:keepNext w:val="0"/>
              <w:keepLines w:val="0"/>
              <w:widowControl/>
              <w:suppressLineNumbers w:val="0"/>
              <w:spacing w:before="0" w:beforeAutospacing="0" w:after="0" w:afterAutospacing="0"/>
              <w:ind w:left="0" w:right="0"/>
              <w:jc w:val="center"/>
              <w:textAlignment w:val="baseline"/>
            </w:pPr>
            <w:r>
              <w:rPr>
                <w:rFonts w:hint="eastAsia" w:ascii="宋体" w:hAnsi="宋体" w:eastAsia="宋体" w:cs="宋体"/>
                <w:sz w:val="21"/>
                <w:szCs w:val="21"/>
                <w:vertAlign w:val="baseline"/>
              </w:rPr>
              <w:t>（%）</w:t>
            </w:r>
          </w:p>
        </w:tc>
        <w:tc>
          <w:tcPr>
            <w:tcW w:w="810" w:type="dxa"/>
            <w:tcBorders>
              <w:top w:val="single" w:color="auto" w:sz="8" w:space="0"/>
              <w:left w:val="nil"/>
              <w:bottom w:val="single" w:color="auto" w:sz="8" w:space="0"/>
              <w:right w:val="single" w:color="auto" w:sz="8" w:space="0"/>
            </w:tcBorders>
            <w:shd w:val="clear" w:color="auto" w:fill="auto"/>
            <w:tcMar>
              <w:top w:w="13" w:type="dxa"/>
              <w:left w:w="13" w:type="dxa"/>
              <w:bottom w:w="0" w:type="dxa"/>
              <w:right w:w="13" w:type="dxa"/>
            </w:tcMar>
            <w:vAlign w:val="center"/>
          </w:tcPr>
          <w:p>
            <w:pPr>
              <w:pStyle w:val="4"/>
              <w:keepNext w:val="0"/>
              <w:keepLines w:val="0"/>
              <w:widowControl/>
              <w:suppressLineNumbers w:val="0"/>
              <w:spacing w:before="0" w:beforeAutospacing="0" w:after="0" w:afterAutospacing="0"/>
              <w:ind w:left="0" w:right="0"/>
              <w:jc w:val="center"/>
              <w:textAlignment w:val="baseline"/>
            </w:pPr>
            <w:r>
              <w:rPr>
                <w:rFonts w:hint="eastAsia" w:ascii="宋体" w:hAnsi="宋体" w:eastAsia="宋体" w:cs="宋体"/>
                <w:sz w:val="21"/>
                <w:szCs w:val="21"/>
                <w:vertAlign w:val="baseline"/>
              </w:rPr>
              <w:t>灭火剂</w:t>
            </w:r>
          </w:p>
          <w:p>
            <w:pPr>
              <w:pStyle w:val="4"/>
              <w:keepNext w:val="0"/>
              <w:keepLines w:val="0"/>
              <w:widowControl/>
              <w:suppressLineNumbers w:val="0"/>
              <w:spacing w:before="0" w:beforeAutospacing="0" w:after="0" w:afterAutospacing="0"/>
              <w:ind w:left="0" w:right="0"/>
              <w:jc w:val="center"/>
              <w:textAlignment w:val="baseline"/>
            </w:pPr>
            <w:r>
              <w:rPr>
                <w:rFonts w:hint="eastAsia" w:ascii="宋体" w:hAnsi="宋体" w:eastAsia="宋体" w:cs="宋体"/>
                <w:sz w:val="21"/>
                <w:szCs w:val="21"/>
                <w:vertAlign w:val="baseline"/>
              </w:rPr>
              <w:t>用量</w:t>
            </w:r>
          </w:p>
          <w:p>
            <w:pPr>
              <w:pStyle w:val="4"/>
              <w:keepNext w:val="0"/>
              <w:keepLines w:val="0"/>
              <w:widowControl/>
              <w:suppressLineNumbers w:val="0"/>
              <w:spacing w:before="0" w:beforeAutospacing="0" w:after="0" w:afterAutospacing="0"/>
              <w:ind w:left="0" w:right="0"/>
              <w:jc w:val="center"/>
              <w:textAlignment w:val="baseline"/>
            </w:pPr>
            <w:r>
              <w:rPr>
                <w:rFonts w:hint="eastAsia" w:ascii="宋体" w:hAnsi="宋体" w:eastAsia="宋体" w:cs="宋体"/>
                <w:sz w:val="21"/>
                <w:szCs w:val="21"/>
                <w:vertAlign w:val="baseline"/>
              </w:rPr>
              <w:t>（kg）</w:t>
            </w:r>
          </w:p>
        </w:tc>
        <w:tc>
          <w:tcPr>
            <w:tcW w:w="1020" w:type="dxa"/>
            <w:tcBorders>
              <w:top w:val="single" w:color="auto" w:sz="8" w:space="0"/>
              <w:left w:val="nil"/>
              <w:bottom w:val="single" w:color="auto" w:sz="8" w:space="0"/>
              <w:right w:val="single" w:color="auto" w:sz="8" w:space="0"/>
            </w:tcBorders>
            <w:shd w:val="clear" w:color="auto" w:fill="auto"/>
            <w:tcMar>
              <w:top w:w="13" w:type="dxa"/>
              <w:left w:w="13" w:type="dxa"/>
              <w:bottom w:w="0" w:type="dxa"/>
              <w:right w:w="13" w:type="dxa"/>
            </w:tcMar>
            <w:vAlign w:val="center"/>
          </w:tcPr>
          <w:p>
            <w:pPr>
              <w:pStyle w:val="4"/>
              <w:keepNext w:val="0"/>
              <w:keepLines w:val="0"/>
              <w:widowControl/>
              <w:suppressLineNumbers w:val="0"/>
              <w:spacing w:before="0" w:beforeAutospacing="0" w:after="0" w:afterAutospacing="0"/>
              <w:ind w:left="0" w:right="0"/>
              <w:jc w:val="center"/>
              <w:textAlignment w:val="baseline"/>
            </w:pPr>
            <w:r>
              <w:rPr>
                <w:rFonts w:hint="eastAsia" w:ascii="宋体" w:hAnsi="宋体" w:eastAsia="宋体" w:cs="宋体"/>
                <w:sz w:val="21"/>
                <w:szCs w:val="21"/>
                <w:vertAlign w:val="baseline"/>
              </w:rPr>
              <w:t>灭火剂</w:t>
            </w:r>
          </w:p>
          <w:p>
            <w:pPr>
              <w:pStyle w:val="4"/>
              <w:keepNext w:val="0"/>
              <w:keepLines w:val="0"/>
              <w:widowControl/>
              <w:suppressLineNumbers w:val="0"/>
              <w:spacing w:before="0" w:beforeAutospacing="0" w:after="0" w:afterAutospacing="0"/>
              <w:ind w:left="0" w:right="0"/>
              <w:jc w:val="center"/>
              <w:textAlignment w:val="baseline"/>
            </w:pPr>
            <w:r>
              <w:rPr>
                <w:rFonts w:hint="eastAsia" w:ascii="宋体" w:hAnsi="宋体" w:eastAsia="宋体" w:cs="宋体"/>
                <w:sz w:val="21"/>
                <w:szCs w:val="21"/>
                <w:vertAlign w:val="baseline"/>
              </w:rPr>
              <w:t>钢瓶容积</w:t>
            </w:r>
          </w:p>
          <w:p>
            <w:pPr>
              <w:pStyle w:val="4"/>
              <w:keepNext w:val="0"/>
              <w:keepLines w:val="0"/>
              <w:widowControl/>
              <w:suppressLineNumbers w:val="0"/>
              <w:spacing w:before="0" w:beforeAutospacing="0" w:after="0" w:afterAutospacing="0"/>
              <w:ind w:left="0" w:right="0"/>
              <w:jc w:val="center"/>
              <w:textAlignment w:val="baseline"/>
            </w:pPr>
            <w:r>
              <w:rPr>
                <w:rFonts w:hint="eastAsia" w:ascii="宋体" w:hAnsi="宋体" w:eastAsia="宋体" w:cs="宋体"/>
                <w:sz w:val="21"/>
                <w:szCs w:val="21"/>
                <w:vertAlign w:val="baseline"/>
              </w:rPr>
              <w:t>（L）</w:t>
            </w:r>
          </w:p>
        </w:tc>
        <w:tc>
          <w:tcPr>
            <w:tcW w:w="1020" w:type="dxa"/>
            <w:tcBorders>
              <w:top w:val="single" w:color="auto" w:sz="8" w:space="0"/>
              <w:left w:val="nil"/>
              <w:bottom w:val="single" w:color="auto" w:sz="8" w:space="0"/>
              <w:right w:val="single" w:color="auto" w:sz="8" w:space="0"/>
            </w:tcBorders>
            <w:shd w:val="clear" w:color="auto" w:fill="auto"/>
            <w:tcMar>
              <w:top w:w="13" w:type="dxa"/>
              <w:left w:w="13" w:type="dxa"/>
              <w:bottom w:w="0" w:type="dxa"/>
              <w:right w:w="13" w:type="dxa"/>
            </w:tcMar>
            <w:vAlign w:val="center"/>
          </w:tcPr>
          <w:p>
            <w:pPr>
              <w:pStyle w:val="4"/>
              <w:keepNext w:val="0"/>
              <w:keepLines w:val="0"/>
              <w:widowControl/>
              <w:suppressLineNumbers w:val="0"/>
              <w:spacing w:before="0" w:beforeAutospacing="0" w:after="0" w:afterAutospacing="0"/>
              <w:ind w:left="0" w:right="0"/>
              <w:jc w:val="center"/>
              <w:textAlignment w:val="baseline"/>
            </w:pPr>
            <w:r>
              <w:rPr>
                <w:rFonts w:hint="eastAsia" w:ascii="宋体" w:hAnsi="宋体" w:eastAsia="宋体" w:cs="宋体"/>
                <w:sz w:val="21"/>
                <w:szCs w:val="21"/>
                <w:vertAlign w:val="baseline"/>
              </w:rPr>
              <w:t>灭火剂储</w:t>
            </w:r>
          </w:p>
          <w:p>
            <w:pPr>
              <w:pStyle w:val="4"/>
              <w:keepNext w:val="0"/>
              <w:keepLines w:val="0"/>
              <w:widowControl/>
              <w:suppressLineNumbers w:val="0"/>
              <w:spacing w:before="0" w:beforeAutospacing="0" w:after="0" w:afterAutospacing="0"/>
              <w:ind w:left="0" w:right="0"/>
              <w:jc w:val="center"/>
              <w:textAlignment w:val="baseline"/>
            </w:pPr>
            <w:r>
              <w:rPr>
                <w:rFonts w:hint="eastAsia" w:ascii="宋体" w:hAnsi="宋体" w:eastAsia="宋体" w:cs="宋体"/>
                <w:sz w:val="21"/>
                <w:szCs w:val="21"/>
                <w:vertAlign w:val="baseline"/>
              </w:rPr>
              <w:t>存压力</w:t>
            </w:r>
          </w:p>
          <w:p>
            <w:pPr>
              <w:pStyle w:val="4"/>
              <w:keepNext w:val="0"/>
              <w:keepLines w:val="0"/>
              <w:widowControl/>
              <w:suppressLineNumbers w:val="0"/>
              <w:spacing w:before="0" w:beforeAutospacing="0" w:after="0" w:afterAutospacing="0"/>
              <w:ind w:left="0" w:right="0"/>
              <w:jc w:val="center"/>
              <w:textAlignment w:val="baseline"/>
            </w:pPr>
            <w:r>
              <w:rPr>
                <w:rFonts w:hint="eastAsia" w:ascii="宋体" w:hAnsi="宋体" w:eastAsia="宋体" w:cs="宋体"/>
                <w:sz w:val="21"/>
                <w:szCs w:val="21"/>
                <w:vertAlign w:val="baseline"/>
              </w:rPr>
              <w:t>（Mpa）</w:t>
            </w:r>
          </w:p>
        </w:tc>
        <w:tc>
          <w:tcPr>
            <w:tcW w:w="1020" w:type="dxa"/>
            <w:tcBorders>
              <w:top w:val="single" w:color="auto" w:sz="8" w:space="0"/>
              <w:left w:val="nil"/>
              <w:bottom w:val="single" w:color="auto" w:sz="8" w:space="0"/>
              <w:right w:val="single" w:color="auto" w:sz="8" w:space="0"/>
            </w:tcBorders>
            <w:shd w:val="clear" w:color="auto" w:fill="auto"/>
            <w:tcMar>
              <w:top w:w="13" w:type="dxa"/>
              <w:left w:w="13" w:type="dxa"/>
              <w:bottom w:w="0" w:type="dxa"/>
              <w:right w:w="13" w:type="dxa"/>
            </w:tcMar>
            <w:vAlign w:val="center"/>
          </w:tcPr>
          <w:p>
            <w:pPr>
              <w:pStyle w:val="4"/>
              <w:keepNext w:val="0"/>
              <w:keepLines w:val="0"/>
              <w:widowControl/>
              <w:suppressLineNumbers w:val="0"/>
              <w:spacing w:before="0" w:beforeAutospacing="0" w:after="0" w:afterAutospacing="0"/>
              <w:ind w:left="0" w:right="0"/>
              <w:jc w:val="center"/>
              <w:textAlignment w:val="baseline"/>
            </w:pPr>
            <w:r>
              <w:rPr>
                <w:rFonts w:hint="eastAsia" w:ascii="宋体" w:hAnsi="宋体" w:eastAsia="宋体" w:cs="宋体"/>
                <w:sz w:val="21"/>
                <w:szCs w:val="21"/>
                <w:vertAlign w:val="baseline"/>
              </w:rPr>
              <w:t>灭火剂</w:t>
            </w:r>
          </w:p>
          <w:p>
            <w:pPr>
              <w:pStyle w:val="4"/>
              <w:keepNext w:val="0"/>
              <w:keepLines w:val="0"/>
              <w:widowControl/>
              <w:suppressLineNumbers w:val="0"/>
              <w:spacing w:before="0" w:beforeAutospacing="0" w:after="0" w:afterAutospacing="0"/>
              <w:ind w:left="0" w:right="0"/>
              <w:jc w:val="center"/>
              <w:textAlignment w:val="baseline"/>
            </w:pPr>
            <w:r>
              <w:rPr>
                <w:rFonts w:hint="eastAsia" w:ascii="宋体" w:hAnsi="宋体" w:eastAsia="宋体" w:cs="宋体"/>
                <w:sz w:val="21"/>
                <w:szCs w:val="21"/>
                <w:vertAlign w:val="baseline"/>
              </w:rPr>
              <w:t>钢瓶数量</w:t>
            </w:r>
          </w:p>
          <w:p>
            <w:pPr>
              <w:pStyle w:val="4"/>
              <w:keepNext w:val="0"/>
              <w:keepLines w:val="0"/>
              <w:widowControl/>
              <w:suppressLineNumbers w:val="0"/>
              <w:spacing w:before="0" w:beforeAutospacing="0" w:after="0" w:afterAutospacing="0"/>
              <w:ind w:left="0" w:right="0"/>
              <w:jc w:val="center"/>
              <w:textAlignment w:val="baseline"/>
            </w:pPr>
            <w:r>
              <w:rPr>
                <w:rFonts w:hint="eastAsia" w:ascii="宋体" w:hAnsi="宋体" w:eastAsia="宋体" w:cs="宋体"/>
                <w:sz w:val="21"/>
                <w:szCs w:val="21"/>
                <w:vertAlign w:val="baseline"/>
              </w:rPr>
              <w:t>（只）</w:t>
            </w:r>
          </w:p>
        </w:tc>
      </w:tr>
      <w:tr>
        <w:tblPrEx>
          <w:shd w:val="clear" w:color="auto" w:fill="auto"/>
          <w:tblLayout w:type="fixed"/>
          <w:tblCellMar>
            <w:top w:w="15" w:type="dxa"/>
            <w:left w:w="15" w:type="dxa"/>
            <w:bottom w:w="15" w:type="dxa"/>
            <w:right w:w="15" w:type="dxa"/>
          </w:tblCellMar>
        </w:tblPrEx>
        <w:trPr>
          <w:trHeight w:val="433" w:hRule="atLeast"/>
        </w:trPr>
        <w:tc>
          <w:tcPr>
            <w:tcW w:w="390" w:type="dxa"/>
            <w:tcBorders>
              <w:top w:val="nil"/>
              <w:left w:val="single" w:color="auto" w:sz="8" w:space="0"/>
              <w:bottom w:val="single" w:color="auto" w:sz="8" w:space="0"/>
              <w:right w:val="single" w:color="auto" w:sz="8" w:space="0"/>
            </w:tcBorders>
            <w:shd w:val="clear" w:color="auto" w:fill="auto"/>
            <w:tcMar>
              <w:top w:w="13" w:type="dxa"/>
              <w:left w:w="13" w:type="dxa"/>
              <w:bottom w:w="0" w:type="dxa"/>
              <w:right w:w="13" w:type="dxa"/>
            </w:tcMar>
            <w:vAlign w:val="center"/>
          </w:tcPr>
          <w:p>
            <w:pPr>
              <w:pStyle w:val="4"/>
              <w:keepNext w:val="0"/>
              <w:keepLines w:val="0"/>
              <w:widowControl/>
              <w:suppressLineNumbers w:val="0"/>
              <w:spacing w:before="0" w:beforeAutospacing="0" w:after="0" w:afterAutospacing="0"/>
              <w:ind w:left="0" w:right="0"/>
              <w:jc w:val="center"/>
              <w:textAlignment w:val="baseline"/>
            </w:pPr>
            <w:r>
              <w:rPr>
                <w:rFonts w:hint="eastAsia" w:ascii="宋体" w:hAnsi="宋体" w:eastAsia="宋体" w:cs="宋体"/>
                <w:sz w:val="21"/>
                <w:szCs w:val="21"/>
                <w:vertAlign w:val="baseline"/>
              </w:rPr>
              <w:t>A</w:t>
            </w:r>
          </w:p>
        </w:tc>
        <w:tc>
          <w:tcPr>
            <w:tcW w:w="810" w:type="dxa"/>
            <w:tcBorders>
              <w:top w:val="nil"/>
              <w:left w:val="nil"/>
              <w:bottom w:val="single" w:color="auto" w:sz="8" w:space="0"/>
              <w:right w:val="single" w:color="auto" w:sz="8" w:space="0"/>
            </w:tcBorders>
            <w:shd w:val="clear" w:color="auto" w:fill="auto"/>
            <w:tcMar>
              <w:top w:w="13" w:type="dxa"/>
              <w:left w:w="13" w:type="dxa"/>
              <w:bottom w:w="0" w:type="dxa"/>
              <w:right w:w="13" w:type="dxa"/>
            </w:tcMar>
            <w:vAlign w:val="center"/>
          </w:tcPr>
          <w:p>
            <w:pPr>
              <w:pStyle w:val="4"/>
              <w:keepNext w:val="0"/>
              <w:keepLines w:val="0"/>
              <w:widowControl/>
              <w:suppressLineNumbers w:val="0"/>
              <w:spacing w:before="0" w:beforeAutospacing="0" w:after="0" w:afterAutospacing="0"/>
              <w:ind w:left="0" w:right="0"/>
              <w:jc w:val="center"/>
              <w:textAlignment w:val="baseline"/>
            </w:pPr>
            <w:r>
              <w:rPr>
                <w:rFonts w:hint="eastAsia" w:ascii="宋体" w:hAnsi="宋体" w:eastAsia="宋体" w:cs="宋体"/>
                <w:sz w:val="21"/>
                <w:szCs w:val="21"/>
                <w:vertAlign w:val="baseline"/>
              </w:rPr>
              <w:t>600</w:t>
            </w:r>
          </w:p>
        </w:tc>
        <w:tc>
          <w:tcPr>
            <w:tcW w:w="810" w:type="dxa"/>
            <w:vMerge w:val="restart"/>
            <w:tcBorders>
              <w:top w:val="nil"/>
              <w:left w:val="nil"/>
              <w:bottom w:val="single" w:color="auto" w:sz="8" w:space="0"/>
              <w:right w:val="single" w:color="auto" w:sz="8" w:space="0"/>
            </w:tcBorders>
            <w:shd w:val="clear" w:color="auto" w:fill="auto"/>
            <w:tcMar>
              <w:top w:w="13" w:type="dxa"/>
              <w:left w:w="13" w:type="dxa"/>
              <w:bottom w:w="0" w:type="dxa"/>
              <w:right w:w="13" w:type="dxa"/>
            </w:tcMar>
            <w:vAlign w:val="center"/>
          </w:tcPr>
          <w:p>
            <w:pPr>
              <w:pStyle w:val="4"/>
              <w:keepNext w:val="0"/>
              <w:keepLines w:val="0"/>
              <w:widowControl/>
              <w:suppressLineNumbers w:val="0"/>
              <w:spacing w:before="0" w:beforeAutospacing="0" w:after="0" w:afterAutospacing="0"/>
              <w:ind w:left="0" w:right="0"/>
              <w:jc w:val="center"/>
              <w:textAlignment w:val="baseline"/>
            </w:pPr>
            <w:r>
              <w:rPr>
                <w:rFonts w:hint="eastAsia" w:ascii="宋体" w:hAnsi="宋体" w:eastAsia="宋体" w:cs="宋体"/>
                <w:sz w:val="21"/>
                <w:szCs w:val="21"/>
                <w:vertAlign w:val="baseline"/>
              </w:rPr>
              <w:t>8</w:t>
            </w:r>
          </w:p>
        </w:tc>
        <w:tc>
          <w:tcPr>
            <w:tcW w:w="810" w:type="dxa"/>
            <w:tcBorders>
              <w:top w:val="nil"/>
              <w:left w:val="nil"/>
              <w:bottom w:val="single" w:color="auto" w:sz="8" w:space="0"/>
              <w:right w:val="single" w:color="auto" w:sz="8" w:space="0"/>
            </w:tcBorders>
            <w:shd w:val="clear" w:color="auto" w:fill="auto"/>
            <w:tcMar>
              <w:top w:w="13" w:type="dxa"/>
              <w:left w:w="13" w:type="dxa"/>
              <w:bottom w:w="0" w:type="dxa"/>
              <w:right w:w="13" w:type="dxa"/>
            </w:tcMar>
            <w:vAlign w:val="center"/>
          </w:tcPr>
          <w:p>
            <w:pPr>
              <w:pStyle w:val="4"/>
              <w:keepNext w:val="0"/>
              <w:keepLines w:val="0"/>
              <w:widowControl/>
              <w:suppressLineNumbers w:val="0"/>
              <w:spacing w:before="0" w:beforeAutospacing="0" w:after="0" w:afterAutospacing="0"/>
              <w:ind w:left="0" w:right="0"/>
              <w:jc w:val="center"/>
              <w:textAlignment w:val="baseline"/>
            </w:pPr>
            <w:r>
              <w:rPr>
                <w:rFonts w:hint="eastAsia" w:ascii="宋体" w:hAnsi="宋体" w:eastAsia="宋体" w:cs="宋体"/>
                <w:sz w:val="21"/>
                <w:szCs w:val="21"/>
                <w:vertAlign w:val="baseline"/>
              </w:rPr>
              <w:t>398</w:t>
            </w:r>
          </w:p>
        </w:tc>
        <w:tc>
          <w:tcPr>
            <w:tcW w:w="1020" w:type="dxa"/>
            <w:vMerge w:val="restart"/>
            <w:tcBorders>
              <w:top w:val="nil"/>
              <w:left w:val="nil"/>
              <w:bottom w:val="single" w:color="auto" w:sz="8" w:space="0"/>
              <w:right w:val="single" w:color="auto" w:sz="8" w:space="0"/>
            </w:tcBorders>
            <w:shd w:val="clear" w:color="auto" w:fill="auto"/>
            <w:tcMar>
              <w:top w:w="13" w:type="dxa"/>
              <w:left w:w="13" w:type="dxa"/>
              <w:bottom w:w="0" w:type="dxa"/>
              <w:right w:w="13" w:type="dxa"/>
            </w:tcMar>
            <w:vAlign w:val="center"/>
          </w:tcPr>
          <w:p>
            <w:pPr>
              <w:pStyle w:val="4"/>
              <w:keepNext w:val="0"/>
              <w:keepLines w:val="0"/>
              <w:widowControl/>
              <w:suppressLineNumbers w:val="0"/>
              <w:spacing w:before="0" w:beforeAutospacing="0" w:after="0" w:afterAutospacing="0"/>
              <w:ind w:left="0" w:right="0"/>
              <w:jc w:val="center"/>
              <w:textAlignment w:val="baseline"/>
            </w:pPr>
            <w:r>
              <w:rPr>
                <w:rFonts w:hint="eastAsia" w:ascii="宋体" w:hAnsi="宋体" w:eastAsia="宋体" w:cs="宋体"/>
                <w:sz w:val="21"/>
                <w:szCs w:val="21"/>
                <w:vertAlign w:val="baseline"/>
              </w:rPr>
              <w:t>120</w:t>
            </w:r>
          </w:p>
        </w:tc>
        <w:tc>
          <w:tcPr>
            <w:tcW w:w="1020" w:type="dxa"/>
            <w:vMerge w:val="restart"/>
            <w:tcBorders>
              <w:top w:val="nil"/>
              <w:left w:val="nil"/>
              <w:bottom w:val="single" w:color="auto" w:sz="8" w:space="0"/>
              <w:right w:val="single" w:color="auto" w:sz="8" w:space="0"/>
            </w:tcBorders>
            <w:shd w:val="clear" w:color="auto" w:fill="auto"/>
            <w:tcMar>
              <w:top w:w="13" w:type="dxa"/>
              <w:left w:w="13" w:type="dxa"/>
              <w:bottom w:w="0" w:type="dxa"/>
              <w:right w:w="13" w:type="dxa"/>
            </w:tcMar>
            <w:vAlign w:val="center"/>
          </w:tcPr>
          <w:p>
            <w:pPr>
              <w:pStyle w:val="4"/>
              <w:keepNext w:val="0"/>
              <w:keepLines w:val="0"/>
              <w:widowControl/>
              <w:suppressLineNumbers w:val="0"/>
              <w:spacing w:before="0" w:beforeAutospacing="0" w:after="0" w:afterAutospacing="0"/>
              <w:ind w:left="0" w:right="0"/>
              <w:jc w:val="center"/>
              <w:textAlignment w:val="baseline"/>
            </w:pPr>
            <w:r>
              <w:rPr>
                <w:rFonts w:hint="eastAsia" w:ascii="宋体" w:hAnsi="宋体" w:eastAsia="宋体" w:cs="宋体"/>
                <w:sz w:val="21"/>
                <w:szCs w:val="21"/>
                <w:vertAlign w:val="baseline"/>
              </w:rPr>
              <w:t>4.2</w:t>
            </w:r>
          </w:p>
        </w:tc>
        <w:tc>
          <w:tcPr>
            <w:tcW w:w="1020" w:type="dxa"/>
            <w:tcBorders>
              <w:top w:val="nil"/>
              <w:left w:val="nil"/>
              <w:bottom w:val="single" w:color="auto" w:sz="8" w:space="0"/>
              <w:right w:val="single" w:color="auto" w:sz="8" w:space="0"/>
            </w:tcBorders>
            <w:shd w:val="clear" w:color="auto" w:fill="auto"/>
            <w:tcMar>
              <w:top w:w="13" w:type="dxa"/>
              <w:left w:w="13" w:type="dxa"/>
              <w:bottom w:w="0" w:type="dxa"/>
              <w:right w:w="13" w:type="dxa"/>
            </w:tcMar>
            <w:vAlign w:val="center"/>
          </w:tcPr>
          <w:p>
            <w:pPr>
              <w:pStyle w:val="4"/>
              <w:keepNext w:val="0"/>
              <w:keepLines w:val="0"/>
              <w:widowControl/>
              <w:suppressLineNumbers w:val="0"/>
              <w:spacing w:before="0" w:beforeAutospacing="0" w:after="0" w:afterAutospacing="0"/>
              <w:ind w:left="0" w:right="0"/>
              <w:jc w:val="center"/>
              <w:textAlignment w:val="baseline"/>
            </w:pPr>
            <w:r>
              <w:rPr>
                <w:rFonts w:hint="eastAsia" w:ascii="宋体" w:hAnsi="宋体" w:eastAsia="宋体" w:cs="宋体"/>
                <w:sz w:val="21"/>
                <w:szCs w:val="21"/>
                <w:vertAlign w:val="baseline"/>
              </w:rPr>
              <w:t>4</w:t>
            </w:r>
          </w:p>
        </w:tc>
      </w:tr>
      <w:tr>
        <w:tblPrEx>
          <w:shd w:val="clear" w:color="auto" w:fill="auto"/>
          <w:tblLayout w:type="fixed"/>
          <w:tblCellMar>
            <w:top w:w="15" w:type="dxa"/>
            <w:left w:w="15" w:type="dxa"/>
            <w:bottom w:w="15" w:type="dxa"/>
            <w:right w:w="15" w:type="dxa"/>
          </w:tblCellMar>
        </w:tblPrEx>
        <w:trPr>
          <w:trHeight w:val="433" w:hRule="atLeast"/>
        </w:trPr>
        <w:tc>
          <w:tcPr>
            <w:tcW w:w="390" w:type="dxa"/>
            <w:tcBorders>
              <w:top w:val="nil"/>
              <w:left w:val="single" w:color="auto" w:sz="8" w:space="0"/>
              <w:bottom w:val="single" w:color="auto" w:sz="8" w:space="0"/>
              <w:right w:val="single" w:color="auto" w:sz="8" w:space="0"/>
            </w:tcBorders>
            <w:shd w:val="clear" w:color="auto" w:fill="auto"/>
            <w:tcMar>
              <w:top w:w="13" w:type="dxa"/>
              <w:left w:w="13" w:type="dxa"/>
              <w:bottom w:w="0" w:type="dxa"/>
              <w:right w:w="13" w:type="dxa"/>
            </w:tcMar>
            <w:vAlign w:val="center"/>
          </w:tcPr>
          <w:p>
            <w:pPr>
              <w:pStyle w:val="4"/>
              <w:keepNext w:val="0"/>
              <w:keepLines w:val="0"/>
              <w:widowControl/>
              <w:suppressLineNumbers w:val="0"/>
              <w:spacing w:before="0" w:beforeAutospacing="0" w:after="0" w:afterAutospacing="0"/>
              <w:ind w:left="0" w:right="0"/>
              <w:jc w:val="center"/>
              <w:textAlignment w:val="baseline"/>
            </w:pPr>
            <w:r>
              <w:rPr>
                <w:rFonts w:hint="eastAsia" w:ascii="宋体" w:hAnsi="宋体" w:eastAsia="宋体" w:cs="宋体"/>
                <w:sz w:val="21"/>
                <w:szCs w:val="21"/>
                <w:vertAlign w:val="baseline"/>
              </w:rPr>
              <w:t>B</w:t>
            </w:r>
          </w:p>
        </w:tc>
        <w:tc>
          <w:tcPr>
            <w:tcW w:w="810" w:type="dxa"/>
            <w:tcBorders>
              <w:top w:val="nil"/>
              <w:left w:val="nil"/>
              <w:bottom w:val="single" w:color="auto" w:sz="8" w:space="0"/>
              <w:right w:val="single" w:color="auto" w:sz="8" w:space="0"/>
            </w:tcBorders>
            <w:shd w:val="clear" w:color="auto" w:fill="auto"/>
            <w:tcMar>
              <w:top w:w="13" w:type="dxa"/>
              <w:left w:w="13" w:type="dxa"/>
              <w:bottom w:w="0" w:type="dxa"/>
              <w:right w:w="13" w:type="dxa"/>
            </w:tcMar>
            <w:vAlign w:val="center"/>
          </w:tcPr>
          <w:p>
            <w:pPr>
              <w:pStyle w:val="4"/>
              <w:keepNext w:val="0"/>
              <w:keepLines w:val="0"/>
              <w:widowControl/>
              <w:suppressLineNumbers w:val="0"/>
              <w:spacing w:before="0" w:beforeAutospacing="0" w:after="0" w:afterAutospacing="0"/>
              <w:ind w:left="0" w:right="0"/>
              <w:jc w:val="center"/>
              <w:textAlignment w:val="baseline"/>
            </w:pPr>
            <w:r>
              <w:rPr>
                <w:rFonts w:hint="eastAsia" w:ascii="宋体" w:hAnsi="宋体" w:eastAsia="宋体" w:cs="宋体"/>
                <w:sz w:val="21"/>
                <w:szCs w:val="21"/>
                <w:vertAlign w:val="baseline"/>
              </w:rPr>
              <w:t>450</w:t>
            </w:r>
          </w:p>
        </w:tc>
        <w:tc>
          <w:tcPr>
            <w:tcW w:w="810" w:type="dxa"/>
            <w:vMerge w:val="continue"/>
            <w:tcBorders>
              <w:top w:val="nil"/>
              <w:left w:val="nil"/>
              <w:bottom w:val="single" w:color="auto" w:sz="8" w:space="0"/>
              <w:right w:val="single" w:color="auto" w:sz="8" w:space="0"/>
            </w:tcBorders>
            <w:shd w:val="clear" w:color="auto" w:fill="auto"/>
            <w:tcMar>
              <w:top w:w="13" w:type="dxa"/>
              <w:left w:w="13" w:type="dxa"/>
              <w:bottom w:w="0" w:type="dxa"/>
              <w:right w:w="13" w:type="dxa"/>
            </w:tcMar>
            <w:vAlign w:val="center"/>
          </w:tcPr>
          <w:p>
            <w:pPr>
              <w:rPr>
                <w:rFonts w:hint="eastAsia" w:ascii="宋体"/>
                <w:sz w:val="24"/>
                <w:szCs w:val="24"/>
              </w:rPr>
            </w:pPr>
          </w:p>
        </w:tc>
        <w:tc>
          <w:tcPr>
            <w:tcW w:w="810" w:type="dxa"/>
            <w:tcBorders>
              <w:top w:val="nil"/>
              <w:left w:val="nil"/>
              <w:bottom w:val="single" w:color="auto" w:sz="8" w:space="0"/>
              <w:right w:val="single" w:color="auto" w:sz="8" w:space="0"/>
            </w:tcBorders>
            <w:shd w:val="clear" w:color="auto" w:fill="auto"/>
            <w:tcMar>
              <w:top w:w="13" w:type="dxa"/>
              <w:left w:w="13" w:type="dxa"/>
              <w:bottom w:w="0" w:type="dxa"/>
              <w:right w:w="13" w:type="dxa"/>
            </w:tcMar>
            <w:vAlign w:val="center"/>
          </w:tcPr>
          <w:p>
            <w:pPr>
              <w:pStyle w:val="4"/>
              <w:keepNext w:val="0"/>
              <w:keepLines w:val="0"/>
              <w:widowControl/>
              <w:suppressLineNumbers w:val="0"/>
              <w:spacing w:before="0" w:beforeAutospacing="0" w:after="0" w:afterAutospacing="0"/>
              <w:ind w:left="0" w:right="0"/>
              <w:jc w:val="center"/>
              <w:textAlignment w:val="baseline"/>
            </w:pPr>
            <w:r>
              <w:rPr>
                <w:rFonts w:hint="eastAsia" w:ascii="宋体" w:hAnsi="宋体" w:eastAsia="宋体" w:cs="宋体"/>
                <w:sz w:val="21"/>
                <w:szCs w:val="21"/>
                <w:vertAlign w:val="baseline"/>
              </w:rPr>
              <w:t>298</w:t>
            </w:r>
          </w:p>
        </w:tc>
        <w:tc>
          <w:tcPr>
            <w:tcW w:w="1020" w:type="dxa"/>
            <w:vMerge w:val="continue"/>
            <w:tcBorders>
              <w:top w:val="nil"/>
              <w:left w:val="nil"/>
              <w:bottom w:val="single" w:color="auto" w:sz="8" w:space="0"/>
              <w:right w:val="single" w:color="auto" w:sz="8" w:space="0"/>
            </w:tcBorders>
            <w:shd w:val="clear" w:color="auto" w:fill="auto"/>
            <w:tcMar>
              <w:top w:w="13" w:type="dxa"/>
              <w:left w:w="13" w:type="dxa"/>
              <w:bottom w:w="0" w:type="dxa"/>
              <w:right w:w="13" w:type="dxa"/>
            </w:tcMar>
            <w:vAlign w:val="center"/>
          </w:tcPr>
          <w:p>
            <w:pPr>
              <w:rPr>
                <w:rFonts w:hint="eastAsia" w:ascii="宋体"/>
                <w:sz w:val="24"/>
                <w:szCs w:val="24"/>
              </w:rPr>
            </w:pPr>
          </w:p>
        </w:tc>
        <w:tc>
          <w:tcPr>
            <w:tcW w:w="1020" w:type="dxa"/>
            <w:vMerge w:val="continue"/>
            <w:tcBorders>
              <w:top w:val="nil"/>
              <w:left w:val="nil"/>
              <w:bottom w:val="single" w:color="auto" w:sz="8" w:space="0"/>
              <w:right w:val="single" w:color="auto" w:sz="8" w:space="0"/>
            </w:tcBorders>
            <w:shd w:val="clear" w:color="auto" w:fill="auto"/>
            <w:tcMar>
              <w:top w:w="13" w:type="dxa"/>
              <w:left w:w="13" w:type="dxa"/>
              <w:bottom w:w="0" w:type="dxa"/>
              <w:right w:w="13" w:type="dxa"/>
            </w:tcMar>
            <w:vAlign w:val="center"/>
          </w:tcPr>
          <w:p>
            <w:pPr>
              <w:rPr>
                <w:rFonts w:hint="eastAsia" w:ascii="宋体"/>
                <w:sz w:val="24"/>
                <w:szCs w:val="24"/>
              </w:rPr>
            </w:pPr>
          </w:p>
        </w:tc>
        <w:tc>
          <w:tcPr>
            <w:tcW w:w="1020" w:type="dxa"/>
            <w:tcBorders>
              <w:top w:val="nil"/>
              <w:left w:val="nil"/>
              <w:bottom w:val="single" w:color="auto" w:sz="8" w:space="0"/>
              <w:right w:val="single" w:color="auto" w:sz="8" w:space="0"/>
            </w:tcBorders>
            <w:shd w:val="clear" w:color="auto" w:fill="auto"/>
            <w:tcMar>
              <w:top w:w="13" w:type="dxa"/>
              <w:left w:w="13" w:type="dxa"/>
              <w:bottom w:w="0" w:type="dxa"/>
              <w:right w:w="13" w:type="dxa"/>
            </w:tcMar>
            <w:vAlign w:val="center"/>
          </w:tcPr>
          <w:p>
            <w:pPr>
              <w:pStyle w:val="4"/>
              <w:keepNext w:val="0"/>
              <w:keepLines w:val="0"/>
              <w:widowControl/>
              <w:suppressLineNumbers w:val="0"/>
              <w:spacing w:before="0" w:beforeAutospacing="0" w:after="0" w:afterAutospacing="0"/>
              <w:ind w:left="0" w:right="0"/>
              <w:jc w:val="center"/>
              <w:textAlignment w:val="baseline"/>
            </w:pPr>
            <w:r>
              <w:rPr>
                <w:rFonts w:hint="eastAsia" w:ascii="宋体" w:hAnsi="宋体" w:eastAsia="宋体" w:cs="宋体"/>
                <w:sz w:val="21"/>
                <w:szCs w:val="21"/>
                <w:vertAlign w:val="baseline"/>
              </w:rPr>
              <w:t>3</w:t>
            </w:r>
          </w:p>
        </w:tc>
      </w:tr>
      <w:tr>
        <w:tblPrEx>
          <w:shd w:val="clear" w:color="auto" w:fill="auto"/>
          <w:tblLayout w:type="fixed"/>
          <w:tblCellMar>
            <w:top w:w="15" w:type="dxa"/>
            <w:left w:w="15" w:type="dxa"/>
            <w:bottom w:w="15" w:type="dxa"/>
            <w:right w:w="15" w:type="dxa"/>
          </w:tblCellMar>
        </w:tblPrEx>
        <w:trPr>
          <w:trHeight w:val="433" w:hRule="atLeast"/>
        </w:trPr>
        <w:tc>
          <w:tcPr>
            <w:tcW w:w="390" w:type="dxa"/>
            <w:tcBorders>
              <w:top w:val="nil"/>
              <w:left w:val="single" w:color="auto" w:sz="8" w:space="0"/>
              <w:bottom w:val="single" w:color="auto" w:sz="8" w:space="0"/>
              <w:right w:val="single" w:color="auto" w:sz="8" w:space="0"/>
            </w:tcBorders>
            <w:shd w:val="clear" w:color="auto" w:fill="auto"/>
            <w:tcMar>
              <w:top w:w="13" w:type="dxa"/>
              <w:left w:w="13" w:type="dxa"/>
              <w:bottom w:w="0" w:type="dxa"/>
              <w:right w:w="13" w:type="dxa"/>
            </w:tcMar>
            <w:vAlign w:val="center"/>
          </w:tcPr>
          <w:p>
            <w:pPr>
              <w:pStyle w:val="4"/>
              <w:keepNext w:val="0"/>
              <w:keepLines w:val="0"/>
              <w:widowControl/>
              <w:suppressLineNumbers w:val="0"/>
              <w:spacing w:before="0" w:beforeAutospacing="0" w:after="0" w:afterAutospacing="0"/>
              <w:ind w:left="0" w:right="0"/>
              <w:jc w:val="center"/>
              <w:textAlignment w:val="baseline"/>
            </w:pPr>
            <w:r>
              <w:rPr>
                <w:rFonts w:hint="eastAsia" w:ascii="宋体" w:hAnsi="宋体" w:eastAsia="宋体" w:cs="宋体"/>
                <w:sz w:val="21"/>
                <w:szCs w:val="21"/>
                <w:vertAlign w:val="baseline"/>
              </w:rPr>
              <w:t>C</w:t>
            </w:r>
          </w:p>
        </w:tc>
        <w:tc>
          <w:tcPr>
            <w:tcW w:w="810" w:type="dxa"/>
            <w:tcBorders>
              <w:top w:val="nil"/>
              <w:left w:val="nil"/>
              <w:bottom w:val="single" w:color="auto" w:sz="8" w:space="0"/>
              <w:right w:val="single" w:color="auto" w:sz="8" w:space="0"/>
            </w:tcBorders>
            <w:shd w:val="clear" w:color="auto" w:fill="auto"/>
            <w:tcMar>
              <w:top w:w="13" w:type="dxa"/>
              <w:left w:w="13" w:type="dxa"/>
              <w:bottom w:w="0" w:type="dxa"/>
              <w:right w:w="13" w:type="dxa"/>
            </w:tcMar>
            <w:vAlign w:val="center"/>
          </w:tcPr>
          <w:p>
            <w:pPr>
              <w:pStyle w:val="4"/>
              <w:keepNext w:val="0"/>
              <w:keepLines w:val="0"/>
              <w:widowControl/>
              <w:suppressLineNumbers w:val="0"/>
              <w:spacing w:before="0" w:beforeAutospacing="0" w:after="0" w:afterAutospacing="0"/>
              <w:ind w:left="0" w:right="0"/>
              <w:jc w:val="center"/>
              <w:textAlignment w:val="baseline"/>
            </w:pPr>
            <w:r>
              <w:rPr>
                <w:rFonts w:hint="eastAsia" w:ascii="宋体" w:hAnsi="宋体" w:eastAsia="宋体" w:cs="宋体"/>
                <w:sz w:val="21"/>
                <w:szCs w:val="21"/>
                <w:vertAlign w:val="baseline"/>
              </w:rPr>
              <w:t>300</w:t>
            </w:r>
          </w:p>
        </w:tc>
        <w:tc>
          <w:tcPr>
            <w:tcW w:w="810" w:type="dxa"/>
            <w:vMerge w:val="continue"/>
            <w:tcBorders>
              <w:top w:val="nil"/>
              <w:left w:val="nil"/>
              <w:bottom w:val="single" w:color="auto" w:sz="8" w:space="0"/>
              <w:right w:val="single" w:color="auto" w:sz="8" w:space="0"/>
            </w:tcBorders>
            <w:shd w:val="clear" w:color="auto" w:fill="auto"/>
            <w:tcMar>
              <w:top w:w="13" w:type="dxa"/>
              <w:left w:w="13" w:type="dxa"/>
              <w:bottom w:w="0" w:type="dxa"/>
              <w:right w:w="13" w:type="dxa"/>
            </w:tcMar>
            <w:vAlign w:val="center"/>
          </w:tcPr>
          <w:p>
            <w:pPr>
              <w:rPr>
                <w:rFonts w:hint="eastAsia" w:ascii="宋体"/>
                <w:sz w:val="24"/>
                <w:szCs w:val="24"/>
              </w:rPr>
            </w:pPr>
          </w:p>
        </w:tc>
        <w:tc>
          <w:tcPr>
            <w:tcW w:w="810" w:type="dxa"/>
            <w:tcBorders>
              <w:top w:val="nil"/>
              <w:left w:val="nil"/>
              <w:bottom w:val="single" w:color="auto" w:sz="8" w:space="0"/>
              <w:right w:val="single" w:color="auto" w:sz="8" w:space="0"/>
            </w:tcBorders>
            <w:shd w:val="clear" w:color="auto" w:fill="auto"/>
            <w:tcMar>
              <w:top w:w="13" w:type="dxa"/>
              <w:left w:w="13" w:type="dxa"/>
              <w:bottom w:w="0" w:type="dxa"/>
              <w:right w:w="13" w:type="dxa"/>
            </w:tcMar>
            <w:vAlign w:val="center"/>
          </w:tcPr>
          <w:p>
            <w:pPr>
              <w:pStyle w:val="4"/>
              <w:keepNext w:val="0"/>
              <w:keepLines w:val="0"/>
              <w:widowControl/>
              <w:suppressLineNumbers w:val="0"/>
              <w:spacing w:before="0" w:beforeAutospacing="0" w:after="0" w:afterAutospacing="0"/>
              <w:ind w:left="0" w:right="0"/>
              <w:jc w:val="center"/>
              <w:textAlignment w:val="baseline"/>
            </w:pPr>
            <w:r>
              <w:rPr>
                <w:rFonts w:hint="eastAsia" w:ascii="宋体" w:hAnsi="宋体" w:eastAsia="宋体" w:cs="宋体"/>
                <w:sz w:val="21"/>
                <w:szCs w:val="21"/>
                <w:vertAlign w:val="baseline"/>
              </w:rPr>
              <w:t>199</w:t>
            </w:r>
          </w:p>
        </w:tc>
        <w:tc>
          <w:tcPr>
            <w:tcW w:w="1020" w:type="dxa"/>
            <w:vMerge w:val="continue"/>
            <w:tcBorders>
              <w:top w:val="nil"/>
              <w:left w:val="nil"/>
              <w:bottom w:val="single" w:color="auto" w:sz="8" w:space="0"/>
              <w:right w:val="single" w:color="auto" w:sz="8" w:space="0"/>
            </w:tcBorders>
            <w:shd w:val="clear" w:color="auto" w:fill="auto"/>
            <w:tcMar>
              <w:top w:w="13" w:type="dxa"/>
              <w:left w:w="13" w:type="dxa"/>
              <w:bottom w:w="0" w:type="dxa"/>
              <w:right w:w="13" w:type="dxa"/>
            </w:tcMar>
            <w:vAlign w:val="center"/>
          </w:tcPr>
          <w:p>
            <w:pPr>
              <w:rPr>
                <w:rFonts w:hint="eastAsia" w:ascii="宋体"/>
                <w:sz w:val="24"/>
                <w:szCs w:val="24"/>
              </w:rPr>
            </w:pPr>
          </w:p>
        </w:tc>
        <w:tc>
          <w:tcPr>
            <w:tcW w:w="1020" w:type="dxa"/>
            <w:vMerge w:val="continue"/>
            <w:tcBorders>
              <w:top w:val="nil"/>
              <w:left w:val="nil"/>
              <w:bottom w:val="single" w:color="auto" w:sz="8" w:space="0"/>
              <w:right w:val="single" w:color="auto" w:sz="8" w:space="0"/>
            </w:tcBorders>
            <w:shd w:val="clear" w:color="auto" w:fill="auto"/>
            <w:tcMar>
              <w:top w:w="13" w:type="dxa"/>
              <w:left w:w="13" w:type="dxa"/>
              <w:bottom w:w="0" w:type="dxa"/>
              <w:right w:w="13" w:type="dxa"/>
            </w:tcMar>
            <w:vAlign w:val="center"/>
          </w:tcPr>
          <w:p>
            <w:pPr>
              <w:rPr>
                <w:rFonts w:hint="eastAsia" w:ascii="宋体"/>
                <w:sz w:val="24"/>
                <w:szCs w:val="24"/>
              </w:rPr>
            </w:pPr>
          </w:p>
        </w:tc>
        <w:tc>
          <w:tcPr>
            <w:tcW w:w="1020" w:type="dxa"/>
            <w:tcBorders>
              <w:top w:val="nil"/>
              <w:left w:val="nil"/>
              <w:bottom w:val="single" w:color="auto" w:sz="8" w:space="0"/>
              <w:right w:val="single" w:color="auto" w:sz="8" w:space="0"/>
            </w:tcBorders>
            <w:shd w:val="clear" w:color="auto" w:fill="auto"/>
            <w:tcMar>
              <w:top w:w="13" w:type="dxa"/>
              <w:left w:w="13" w:type="dxa"/>
              <w:bottom w:w="0" w:type="dxa"/>
              <w:right w:w="13" w:type="dxa"/>
            </w:tcMar>
            <w:vAlign w:val="center"/>
          </w:tcPr>
          <w:p>
            <w:pPr>
              <w:pStyle w:val="4"/>
              <w:keepNext w:val="0"/>
              <w:keepLines w:val="0"/>
              <w:widowControl/>
              <w:suppressLineNumbers w:val="0"/>
              <w:spacing w:before="0" w:beforeAutospacing="0" w:after="0" w:afterAutospacing="0"/>
              <w:ind w:left="0" w:right="0"/>
              <w:jc w:val="center"/>
              <w:textAlignment w:val="baseline"/>
            </w:pPr>
            <w:r>
              <w:rPr>
                <w:rFonts w:hint="eastAsia" w:ascii="宋体" w:hAnsi="宋体" w:eastAsia="宋体" w:cs="宋体"/>
                <w:sz w:val="21"/>
                <w:szCs w:val="21"/>
                <w:vertAlign w:val="baseline"/>
              </w:rPr>
              <w:t>2</w:t>
            </w:r>
          </w:p>
        </w:tc>
      </w:tr>
    </w:tbl>
    <w:p>
      <w:pPr>
        <w:pStyle w:val="4"/>
        <w:keepNext w:val="0"/>
        <w:keepLines w:val="0"/>
        <w:widowControl/>
        <w:suppressLineNumbers w:val="0"/>
        <w:spacing w:before="0" w:beforeAutospacing="0" w:after="15" w:afterAutospacing="0"/>
        <w:ind w:left="0" w:right="0"/>
        <w:jc w:val="left"/>
      </w:pPr>
      <w:r>
        <w:rPr>
          <w:rFonts w:hint="eastAsia" w:ascii="宋体" w:hAnsi="宋体" w:eastAsia="宋体" w:cs="宋体"/>
          <w:sz w:val="21"/>
          <w:szCs w:val="21"/>
        </w:rPr>
        <w:t>根据以上材料，回答问题：</w:t>
      </w:r>
      <w:r>
        <w:rPr>
          <w:sz w:val="27"/>
          <w:szCs w:val="27"/>
        </w:rPr>
        <w:t xml:space="preserve">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b/>
          <w:sz w:val="27"/>
          <w:szCs w:val="27"/>
        </w:rPr>
        <w:t>本题知识点：</w:t>
      </w:r>
      <w:r>
        <w:rPr>
          <w:rFonts w:ascii="宋体" w:hAnsi="宋体" w:eastAsia="宋体" w:cs="宋体"/>
          <w:sz w:val="27"/>
          <w:szCs w:val="27"/>
        </w:rPr>
        <w:t xml:space="preserve">灭火器的送修,自动喷水灭火系统故障分析及处理,气体灭火系统的设置要求, </w:t>
      </w:r>
    </w:p>
    <w:p>
      <w:pPr>
        <w:keepNext w:val="0"/>
        <w:keepLines w:val="0"/>
        <w:widowControl/>
        <w:suppressLineNumbers w:val="0"/>
        <w:pBdr>
          <w:top w:val="none" w:color="auto" w:sz="0" w:space="0"/>
        </w:pBdr>
        <w:spacing w:before="0" w:beforeAutospacing="0" w:after="15" w:afterAutospacing="0"/>
        <w:ind w:left="0" w:right="0"/>
        <w:jc w:val="left"/>
        <w:rPr>
          <w:sz w:val="27"/>
          <w:szCs w:val="27"/>
        </w:rPr>
      </w:pPr>
      <w:r>
        <w:rPr>
          <w:rFonts w:ascii="宋体" w:hAnsi="宋体" w:eastAsia="宋体" w:cs="宋体"/>
          <w:sz w:val="27"/>
          <w:szCs w:val="27"/>
        </w:rPr>
        <w:t xml:space="preserve">1） 根据建筑灭火器检查情况，简述哪些灭火器需要维修、报废。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FF0000"/>
          <w:sz w:val="27"/>
          <w:szCs w:val="27"/>
        </w:rPr>
        <w:t>正确答案</w:t>
      </w:r>
      <w:r>
        <w:rPr>
          <w:rFonts w:ascii="宋体" w:hAnsi="宋体" w:eastAsia="宋体" w:cs="宋体"/>
          <w:sz w:val="27"/>
          <w:szCs w:val="27"/>
        </w:rPr>
        <w:t>】 需送检维修的灭火器：</w:t>
      </w:r>
      <w:r>
        <w:rPr>
          <w:rFonts w:ascii="宋体" w:hAnsi="宋体" w:eastAsia="宋体" w:cs="宋体"/>
          <w:sz w:val="27"/>
          <w:szCs w:val="27"/>
        </w:rPr>
        <w:br w:type="textWrapping"/>
      </w:r>
      <w:r>
        <w:rPr>
          <w:rFonts w:ascii="宋体" w:hAnsi="宋体" w:eastAsia="宋体" w:cs="宋体"/>
          <w:sz w:val="27"/>
          <w:szCs w:val="27"/>
        </w:rPr>
        <w:t>1）干粉灭火器出厂满5年的必须进行分批送检（手提式、推车式干粉灭火器、洁净气体灭火器、二氧化碳灭火器出厂期满5年；首次维修以后每满2年。综合第三篇第十章第三节），每批不得超过总数1/4，因此2010年1月出厂的82具MFZ/ABC4舟车式4kgABC干粉灭火器（2A、55B）需全部送检维修（检查日期为2015年2月5日，满五年）</w:t>
      </w:r>
      <w:r>
        <w:rPr>
          <w:rFonts w:ascii="宋体" w:hAnsi="宋体" w:eastAsia="宋体" w:cs="宋体"/>
          <w:sz w:val="27"/>
          <w:szCs w:val="27"/>
        </w:rPr>
        <w:br w:type="textWrapping"/>
      </w:r>
      <w:r>
        <w:rPr>
          <w:rFonts w:ascii="宋体" w:hAnsi="宋体" w:eastAsia="宋体" w:cs="宋体"/>
          <w:sz w:val="27"/>
          <w:szCs w:val="27"/>
        </w:rPr>
        <w:t>2）2010年7月出厂的MFZ/ABC4舟车式4kgABC干粉灭火器中3具压力表指针位于红区的需维修。</w:t>
      </w:r>
      <w:r>
        <w:rPr>
          <w:rFonts w:ascii="宋体" w:hAnsi="宋体" w:eastAsia="宋体" w:cs="宋体"/>
          <w:sz w:val="27"/>
          <w:szCs w:val="27"/>
        </w:rPr>
        <w:br w:type="textWrapping"/>
      </w:r>
      <w:r>
        <w:rPr>
          <w:rFonts w:ascii="宋体" w:hAnsi="宋体" w:eastAsia="宋体" w:cs="宋体"/>
          <w:sz w:val="27"/>
          <w:szCs w:val="27"/>
        </w:rPr>
        <w:t>3）2010年7月出厂的MFZ/ABC4灭火器中3具筒体锈蚀面积与筒体面积之比小于1/3的需维修。</w:t>
      </w:r>
      <w:r>
        <w:rPr>
          <w:rFonts w:ascii="宋体" w:hAnsi="宋体" w:eastAsia="宋体" w:cs="宋体"/>
          <w:sz w:val="27"/>
          <w:szCs w:val="27"/>
        </w:rPr>
        <w:br w:type="textWrapping"/>
      </w:r>
      <w:r>
        <w:rPr>
          <w:rFonts w:ascii="宋体" w:hAnsi="宋体" w:eastAsia="宋体" w:cs="宋体"/>
          <w:sz w:val="27"/>
          <w:szCs w:val="27"/>
        </w:rPr>
        <w:t>4）2010年1月出厂的MFZ/ABC4舟车式4kgABC干粉灭火器中2具筒体锈蚀面积与筒体面积之比大于1/3的需报废（筒体严重锈蚀（漆皮大面积脱落，锈蚀面积大于筒体总面积的三分之一，表面产生凹坑者）或者连接部位、筒底严重锈蚀的。综合第三篇第十章第三节）</w:t>
      </w:r>
      <w:r>
        <w:rPr>
          <w:rFonts w:ascii="宋体" w:hAnsi="宋体" w:eastAsia="宋体" w:cs="宋体"/>
          <w:sz w:val="27"/>
          <w:szCs w:val="27"/>
        </w:rPr>
        <w:br w:type="textWrapping"/>
      </w:r>
      <w:r>
        <w:rPr>
          <w:rFonts w:ascii="宋体" w:hAnsi="宋体" w:eastAsia="宋体" w:cs="宋体"/>
          <w:sz w:val="27"/>
          <w:szCs w:val="27"/>
        </w:rPr>
        <w:t>5）2010年7月出厂的MFZ/ABC4舟车式4kgABC干粉灭火器中2具筒体锈蚀面积与筒体面积之比大于1/3的需报废。（筒体严重锈蚀（漆皮大面积脱落，锈蚀面积大于筒体总面积的三分之一，表面产生凹坑者）或者连接部位、筒底严重锈蚀的。综合第三篇第十章第三节）</w:t>
      </w:r>
      <w:r>
        <w:rPr>
          <w:rFonts w:ascii="宋体" w:hAnsi="宋体" w:eastAsia="宋体" w:cs="宋体"/>
          <w:sz w:val="27"/>
          <w:szCs w:val="27"/>
        </w:rPr>
        <w:br w:type="textWrapping"/>
      </w:r>
      <w:r>
        <w:rPr>
          <w:rFonts w:ascii="宋体" w:hAnsi="宋体" w:eastAsia="宋体" w:cs="宋体"/>
          <w:sz w:val="27"/>
          <w:szCs w:val="27"/>
        </w:rPr>
        <w:t>6）2003年1月出厂的18具MT5，5kg二氧化碳灭火器（34B）超过12年的报废年限需全部报废（二氧化碳灭火器出厂期满12年。综合第三篇第十章第三节）；</w:t>
      </w:r>
      <w:r>
        <w:rPr>
          <w:rFonts w:ascii="宋体" w:hAnsi="宋体" w:eastAsia="宋体" w:cs="宋体"/>
          <w:sz w:val="27"/>
          <w:szCs w:val="27"/>
        </w:rPr>
        <w:br w:type="textWrapping"/>
      </w:r>
      <w:r>
        <w:rPr>
          <w:rFonts w:ascii="宋体" w:hAnsi="宋体" w:eastAsia="宋体" w:cs="宋体"/>
          <w:sz w:val="27"/>
          <w:szCs w:val="27"/>
        </w:rPr>
        <w:t>7）2003年7月出厂的MT5，5kg二氧化碳灭火器筒体严重变形的1具应予报废。以上所有报废的灭火器均应按照等效替代的原则进行更换。</w:t>
      </w:r>
      <w:r>
        <w:rPr>
          <w:rFonts w:ascii="宋体" w:hAnsi="宋体" w:eastAsia="宋体" w:cs="宋体"/>
          <w:sz w:val="27"/>
          <w:szCs w:val="27"/>
        </w:rPr>
        <w:br w:type="textWrapping"/>
      </w:r>
      <w:r>
        <w:rPr>
          <w:rFonts w:ascii="宋体" w:hAnsi="宋体" w:eastAsia="宋体" w:cs="宋体"/>
          <w:sz w:val="27"/>
          <w:szCs w:val="27"/>
        </w:rPr>
        <w:t xml:space="preserve">8）2003年1月出厂的18具MT5，5kg二氧化碳灭火器（34B）超过12年的报废年限需全部报废，其中筒体严重变形的2具应予报废。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006600"/>
          <w:sz w:val="27"/>
          <w:szCs w:val="27"/>
        </w:rPr>
        <w:t>答案解析</w:t>
      </w:r>
      <w:r>
        <w:rPr>
          <w:rFonts w:ascii="宋体" w:hAnsi="宋体" w:eastAsia="宋体" w:cs="宋体"/>
          <w:sz w:val="27"/>
          <w:szCs w:val="27"/>
        </w:rPr>
        <w:t xml:space="preserve">】 （2015年真题）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b/>
          <w:sz w:val="27"/>
          <w:szCs w:val="27"/>
        </w:rPr>
        <w:t>本题知识点：</w:t>
      </w:r>
      <w:r>
        <w:rPr>
          <w:rFonts w:ascii="宋体" w:hAnsi="宋体" w:eastAsia="宋体" w:cs="宋体"/>
          <w:sz w:val="27"/>
          <w:szCs w:val="27"/>
        </w:rPr>
        <w:t>灭火器的送修</w:t>
      </w:r>
    </w:p>
    <w:p>
      <w:pPr>
        <w:keepNext w:val="0"/>
        <w:keepLines w:val="0"/>
        <w:widowControl/>
        <w:suppressLineNumbers w:val="0"/>
        <w:spacing w:before="0" w:beforeAutospacing="0" w:after="240" w:afterAutospacing="0"/>
        <w:ind w:left="0" w:right="0"/>
        <w:jc w:val="left"/>
      </w:pPr>
    </w:p>
    <w:p>
      <w:pPr>
        <w:keepNext w:val="0"/>
        <w:keepLines w:val="0"/>
        <w:widowControl/>
        <w:suppressLineNumbers w:val="0"/>
        <w:pBdr>
          <w:top w:val="none" w:color="auto" w:sz="0" w:space="0"/>
        </w:pBdr>
        <w:spacing w:before="0" w:beforeAutospacing="0" w:after="15" w:afterAutospacing="0"/>
        <w:ind w:left="0" w:right="0"/>
        <w:jc w:val="left"/>
        <w:rPr>
          <w:sz w:val="27"/>
          <w:szCs w:val="27"/>
        </w:rPr>
      </w:pPr>
      <w:r>
        <w:rPr>
          <w:rFonts w:ascii="宋体" w:hAnsi="宋体" w:eastAsia="宋体" w:cs="宋体"/>
          <w:sz w:val="27"/>
          <w:szCs w:val="27"/>
        </w:rPr>
        <w:t xml:space="preserve">2） 指出素材（二）的场景中存在的问题及自动喷水给水泵未启动的原因，并简述湿式自动喷水灭火系统联动功能检查测试的方法。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FF0000"/>
          <w:sz w:val="27"/>
          <w:szCs w:val="27"/>
        </w:rPr>
        <w:t>正确答案</w:t>
      </w:r>
      <w:r>
        <w:rPr>
          <w:rFonts w:ascii="宋体" w:hAnsi="宋体" w:eastAsia="宋体" w:cs="宋体"/>
          <w:sz w:val="27"/>
          <w:szCs w:val="27"/>
        </w:rPr>
        <w:t>】 水力警铃声强为65dB，小于规定要求的三米远处水力警铃声强不小于70dB的要求；</w:t>
      </w:r>
      <w:r>
        <w:rPr>
          <w:rFonts w:ascii="宋体" w:hAnsi="宋体" w:eastAsia="宋体" w:cs="宋体"/>
          <w:sz w:val="27"/>
          <w:szCs w:val="27"/>
        </w:rPr>
        <w:br w:type="textWrapping"/>
      </w:r>
      <w:r>
        <w:rPr>
          <w:rFonts w:ascii="宋体" w:hAnsi="宋体" w:eastAsia="宋体" w:cs="宋体"/>
          <w:sz w:val="27"/>
          <w:szCs w:val="27"/>
        </w:rPr>
        <w:t>自动喷水给水泵未启动的原因：</w:t>
      </w:r>
      <w:r>
        <w:rPr>
          <w:rFonts w:ascii="宋体" w:hAnsi="宋体" w:eastAsia="宋体" w:cs="宋体"/>
          <w:sz w:val="27"/>
          <w:szCs w:val="27"/>
        </w:rPr>
        <w:br w:type="textWrapping"/>
      </w:r>
      <w:r>
        <w:rPr>
          <w:rFonts w:ascii="宋体" w:hAnsi="宋体" w:eastAsia="宋体" w:cs="宋体"/>
          <w:sz w:val="27"/>
          <w:szCs w:val="27"/>
        </w:rPr>
        <w:t>1）水泵本身出现故障或损坏；</w:t>
      </w:r>
      <w:r>
        <w:rPr>
          <w:rFonts w:ascii="宋体" w:hAnsi="宋体" w:eastAsia="宋体" w:cs="宋体"/>
          <w:sz w:val="27"/>
          <w:szCs w:val="27"/>
        </w:rPr>
        <w:br w:type="textWrapping"/>
      </w:r>
      <w:r>
        <w:rPr>
          <w:rFonts w:ascii="宋体" w:hAnsi="宋体" w:eastAsia="宋体" w:cs="宋体"/>
          <w:sz w:val="27"/>
          <w:szCs w:val="27"/>
        </w:rPr>
        <w:t>2）水泵控制柜未供电；</w:t>
      </w:r>
      <w:r>
        <w:rPr>
          <w:rFonts w:ascii="宋体" w:hAnsi="宋体" w:eastAsia="宋体" w:cs="宋体"/>
          <w:sz w:val="27"/>
          <w:szCs w:val="27"/>
        </w:rPr>
        <w:br w:type="textWrapping"/>
      </w:r>
      <w:r>
        <w:rPr>
          <w:rFonts w:ascii="宋体" w:hAnsi="宋体" w:eastAsia="宋体" w:cs="宋体"/>
          <w:sz w:val="27"/>
          <w:szCs w:val="27"/>
        </w:rPr>
        <w:t>3）水泵控制柜启动控制回路存在故障；</w:t>
      </w:r>
      <w:r>
        <w:rPr>
          <w:rFonts w:ascii="宋体" w:hAnsi="宋体" w:eastAsia="宋体" w:cs="宋体"/>
          <w:sz w:val="27"/>
          <w:szCs w:val="27"/>
        </w:rPr>
        <w:br w:type="textWrapping"/>
      </w:r>
      <w:r>
        <w:rPr>
          <w:rFonts w:ascii="宋体" w:hAnsi="宋体" w:eastAsia="宋体" w:cs="宋体"/>
          <w:sz w:val="27"/>
          <w:szCs w:val="27"/>
        </w:rPr>
        <w:t>4）水泵主电供电回路故障；</w:t>
      </w:r>
      <w:r>
        <w:rPr>
          <w:rFonts w:ascii="宋体" w:hAnsi="宋体" w:eastAsia="宋体" w:cs="宋体"/>
          <w:sz w:val="27"/>
          <w:szCs w:val="27"/>
        </w:rPr>
        <w:br w:type="textWrapping"/>
      </w:r>
      <w:r>
        <w:rPr>
          <w:rFonts w:ascii="宋体" w:hAnsi="宋体" w:eastAsia="宋体" w:cs="宋体"/>
          <w:sz w:val="27"/>
          <w:szCs w:val="27"/>
        </w:rPr>
        <w:t>5）压力开关与水泵控制柜间的接线故障或错误同时主机控制器打在手动位置或其控制总线与水泵控制柜间的接线故障或错误或模块损坏导致两路自动控制均失效；</w:t>
      </w:r>
      <w:r>
        <w:rPr>
          <w:rFonts w:ascii="宋体" w:hAnsi="宋体" w:eastAsia="宋体" w:cs="宋体"/>
          <w:sz w:val="27"/>
          <w:szCs w:val="27"/>
        </w:rPr>
        <w:br w:type="textWrapping"/>
      </w:r>
      <w:r>
        <w:rPr>
          <w:rFonts w:ascii="宋体" w:hAnsi="宋体" w:eastAsia="宋体" w:cs="宋体"/>
          <w:sz w:val="27"/>
          <w:szCs w:val="27"/>
        </w:rPr>
        <w:t>6）压力开关双簧片中送水泵控制柜的干接点故障同时主机控制器打在手动位置或其控制总线与水泵控制柜间的接线故障或错误或模块损坏导致两路自动控制均失效；</w:t>
      </w:r>
      <w:r>
        <w:rPr>
          <w:rFonts w:ascii="宋体" w:hAnsi="宋体" w:eastAsia="宋体" w:cs="宋体"/>
          <w:sz w:val="27"/>
          <w:szCs w:val="27"/>
        </w:rPr>
        <w:br w:type="textWrapping"/>
      </w:r>
      <w:r>
        <w:rPr>
          <w:rFonts w:ascii="宋体" w:hAnsi="宋体" w:eastAsia="宋体" w:cs="宋体"/>
          <w:sz w:val="27"/>
          <w:szCs w:val="27"/>
        </w:rPr>
        <w:t>7）压力开关与水泵控制柜间的接线故障或错误或压力开关双簧片中送水泵控制器的干接点故障，系统联动控制器本身逻辑编程错误不能通过总线及控制模块发出启动信号导致不能启泵；</w:t>
      </w:r>
      <w:r>
        <w:rPr>
          <w:rFonts w:ascii="宋体" w:hAnsi="宋体" w:eastAsia="宋体" w:cs="宋体"/>
          <w:sz w:val="27"/>
          <w:szCs w:val="27"/>
        </w:rPr>
        <w:br w:type="textWrapping"/>
      </w:r>
      <w:r>
        <w:rPr>
          <w:rFonts w:ascii="宋体" w:hAnsi="宋体" w:eastAsia="宋体" w:cs="宋体"/>
          <w:sz w:val="27"/>
          <w:szCs w:val="27"/>
        </w:rPr>
        <w:t>8）水泵控制柜转换按钮处于手动状态而不接受所有联动信号；</w:t>
      </w:r>
      <w:r>
        <w:rPr>
          <w:rFonts w:ascii="宋体" w:hAnsi="宋体" w:eastAsia="宋体" w:cs="宋体"/>
          <w:sz w:val="27"/>
          <w:szCs w:val="27"/>
        </w:rPr>
        <w:br w:type="textWrapping"/>
      </w:r>
      <w:r>
        <w:rPr>
          <w:rFonts w:ascii="宋体" w:hAnsi="宋体" w:eastAsia="宋体" w:cs="宋体"/>
          <w:sz w:val="27"/>
          <w:szCs w:val="27"/>
        </w:rPr>
        <w:t>9）压力开关双簧片干接点送至水泵控制柜后未使用中间继电器转换，导致强弱电回路控制连接在一起发生故障；</w:t>
      </w:r>
      <w:r>
        <w:rPr>
          <w:rFonts w:ascii="宋体" w:hAnsi="宋体" w:eastAsia="宋体" w:cs="宋体"/>
          <w:sz w:val="27"/>
          <w:szCs w:val="27"/>
        </w:rPr>
        <w:br w:type="textWrapping"/>
      </w:r>
      <w:r>
        <w:rPr>
          <w:rFonts w:ascii="宋体" w:hAnsi="宋体" w:eastAsia="宋体" w:cs="宋体"/>
          <w:sz w:val="27"/>
          <w:szCs w:val="27"/>
        </w:rPr>
        <w:t>10）总线模块连接水泵控制柜后未使用中间继电器转换，导致强弱电回路控制连接在一起发生问题；</w:t>
      </w:r>
      <w:r>
        <w:rPr>
          <w:rFonts w:ascii="宋体" w:hAnsi="宋体" w:eastAsia="宋体" w:cs="宋体"/>
          <w:sz w:val="27"/>
          <w:szCs w:val="27"/>
        </w:rPr>
        <w:br w:type="textWrapping"/>
      </w:r>
      <w:r>
        <w:rPr>
          <w:rFonts w:ascii="宋体" w:hAnsi="宋体" w:eastAsia="宋体" w:cs="宋体"/>
          <w:sz w:val="27"/>
          <w:szCs w:val="27"/>
        </w:rPr>
        <w:t>11）压力开关与水泵控制柜间的接线故障或错误或压力开关双簧片中送水泵控制器的干接点故障，系统联动控制器也打了自动，逻辑编程也没有问题，但是被保护区域探头未报警或报警信号未有效传递到主机同时也没有相应区域手报被按下。</w:t>
      </w:r>
      <w:r>
        <w:rPr>
          <w:rFonts w:ascii="宋体" w:hAnsi="宋体" w:eastAsia="宋体" w:cs="宋体"/>
          <w:sz w:val="27"/>
          <w:szCs w:val="27"/>
        </w:rPr>
        <w:br w:type="textWrapping"/>
      </w:r>
      <w:r>
        <w:rPr>
          <w:rFonts w:ascii="宋体" w:hAnsi="宋体" w:eastAsia="宋体" w:cs="宋体"/>
          <w:sz w:val="27"/>
          <w:szCs w:val="27"/>
        </w:rPr>
        <w:t>关于湿式自动喷水灭火系统联动功能检查测试的方法：</w:t>
      </w:r>
      <w:r>
        <w:rPr>
          <w:rFonts w:ascii="宋体" w:hAnsi="宋体" w:eastAsia="宋体" w:cs="宋体"/>
          <w:sz w:val="27"/>
          <w:szCs w:val="27"/>
        </w:rPr>
        <w:br w:type="textWrapping"/>
      </w:r>
      <w:r>
        <w:rPr>
          <w:rFonts w:ascii="宋体" w:hAnsi="宋体" w:eastAsia="宋体" w:cs="宋体"/>
          <w:sz w:val="27"/>
          <w:szCs w:val="27"/>
        </w:rPr>
        <w:t>系统控制装置设置为“自动”控制方式，水泵控制柜打自动（远动或遥控）状态，启动1只喷头或者开启末端试水装置，流量保持在0.94L/s～1.5L/s，水流指示器、报警阀、压力开关、水力警铃和消防水泵等及时动作，并有相应组件的动作信号反馈到消防联动控制设备。</w:t>
      </w:r>
      <w:r>
        <w:rPr>
          <w:rFonts w:ascii="宋体" w:hAnsi="宋体" w:eastAsia="宋体" w:cs="宋体"/>
          <w:sz w:val="27"/>
          <w:szCs w:val="27"/>
        </w:rPr>
        <w:br w:type="textWrapping"/>
      </w:r>
      <w:r>
        <w:rPr>
          <w:rFonts w:ascii="宋体" w:hAnsi="宋体" w:eastAsia="宋体" w:cs="宋体"/>
          <w:sz w:val="27"/>
          <w:szCs w:val="27"/>
        </w:rPr>
        <w:t xml:space="preserve">其中湿式报警阀进水压力大于0.14MPa、放水流量大于1L/s时，报警阀启动，带延迟器的水力警铃在5～90s内发出报警铃声，不带延迟器的水力警铃应在15s内发出报警铃声，压力开关动作直接通过水泵控制柜联动启泵，并将水泵启动的反馈信号通过总线送到主机联动控制柜或不通过总线直接送到手动控制盘，同时压力开关将动作信号送到主机，此时受保护区域探头发出报警或相应区域手报报警，达到“与”要求之后，主机通过总线及模块联动启动水泵。从启动1只喷头或者开启末端试水装置到水泵启动时间不大于5min。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006600"/>
          <w:sz w:val="27"/>
          <w:szCs w:val="27"/>
        </w:rPr>
        <w:t>答案解析</w:t>
      </w:r>
      <w:r>
        <w:rPr>
          <w:rFonts w:ascii="宋体" w:hAnsi="宋体" w:eastAsia="宋体" w:cs="宋体"/>
          <w:sz w:val="27"/>
          <w:szCs w:val="27"/>
        </w:rPr>
        <w:t xml:space="preserve">】 （2015年真题）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b/>
          <w:sz w:val="27"/>
          <w:szCs w:val="27"/>
        </w:rPr>
        <w:t>本题知识点：</w:t>
      </w:r>
      <w:r>
        <w:rPr>
          <w:rFonts w:ascii="宋体" w:hAnsi="宋体" w:eastAsia="宋体" w:cs="宋体"/>
          <w:sz w:val="27"/>
          <w:szCs w:val="27"/>
        </w:rPr>
        <w:t>自动喷水灭火系统故障分析及处理</w:t>
      </w:r>
    </w:p>
    <w:p>
      <w:pPr>
        <w:keepNext w:val="0"/>
        <w:keepLines w:val="0"/>
        <w:widowControl/>
        <w:suppressLineNumbers w:val="0"/>
        <w:spacing w:before="0" w:beforeAutospacing="0" w:after="240" w:afterAutospacing="0"/>
        <w:ind w:left="0" w:right="0"/>
        <w:jc w:val="left"/>
      </w:pPr>
    </w:p>
    <w:p>
      <w:pPr>
        <w:keepNext w:val="0"/>
        <w:keepLines w:val="0"/>
        <w:widowControl/>
        <w:suppressLineNumbers w:val="0"/>
        <w:pBdr>
          <w:top w:val="none" w:color="auto" w:sz="0" w:space="0"/>
        </w:pBdr>
        <w:spacing w:before="0" w:beforeAutospacing="0" w:after="15" w:afterAutospacing="0"/>
        <w:ind w:left="0" w:right="0"/>
        <w:jc w:val="left"/>
        <w:rPr>
          <w:sz w:val="27"/>
          <w:szCs w:val="27"/>
        </w:rPr>
      </w:pPr>
      <w:r>
        <w:rPr>
          <w:rFonts w:ascii="宋体" w:hAnsi="宋体" w:eastAsia="宋体" w:cs="宋体"/>
          <w:sz w:val="27"/>
          <w:szCs w:val="27"/>
        </w:rPr>
        <w:t xml:space="preserve">3） 七氟丙烷灭火系统在储瓶间内未安装哪种组件？最大防护区对应的驱动装置为几号驱动气瓶？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FF0000"/>
          <w:sz w:val="27"/>
          <w:szCs w:val="27"/>
        </w:rPr>
        <w:t>正确答案</w:t>
      </w:r>
      <w:r>
        <w:rPr>
          <w:rFonts w:ascii="宋体" w:hAnsi="宋体" w:eastAsia="宋体" w:cs="宋体"/>
          <w:sz w:val="27"/>
          <w:szCs w:val="27"/>
        </w:rPr>
        <w:t>】 从图中未明确标示出来的组件来看，有灭火剂驱动气体瓶组上的电磁阀或称磁力启动装置，有灭火剂瓶组上的容器阀或称为瓶头阀，未安装且未标明的有低泄高封阀，安全阀或称安全泄放装置。</w:t>
      </w:r>
      <w:r>
        <w:rPr>
          <w:rFonts w:ascii="宋体" w:hAnsi="宋体" w:eastAsia="宋体" w:cs="宋体"/>
          <w:sz w:val="27"/>
          <w:szCs w:val="27"/>
        </w:rPr>
        <w:br w:type="textWrapping"/>
      </w:r>
      <w:r>
        <w:rPr>
          <w:rFonts w:ascii="宋体" w:hAnsi="宋体" w:eastAsia="宋体" w:cs="宋体"/>
          <w:sz w:val="27"/>
          <w:szCs w:val="27"/>
        </w:rPr>
        <w:t xml:space="preserve">最大防护区对应的驱动装置为2#驱动气瓶。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006600"/>
          <w:sz w:val="27"/>
          <w:szCs w:val="27"/>
        </w:rPr>
        <w:t>答案解析</w:t>
      </w:r>
      <w:r>
        <w:rPr>
          <w:rFonts w:ascii="宋体" w:hAnsi="宋体" w:eastAsia="宋体" w:cs="宋体"/>
          <w:sz w:val="27"/>
          <w:szCs w:val="27"/>
        </w:rPr>
        <w:t xml:space="preserve">】 （2015年真题）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b/>
          <w:sz w:val="27"/>
          <w:szCs w:val="27"/>
        </w:rPr>
        <w:t>本题知识点：</w:t>
      </w:r>
      <w:r>
        <w:rPr>
          <w:rFonts w:ascii="宋体" w:hAnsi="宋体" w:eastAsia="宋体" w:cs="宋体"/>
          <w:sz w:val="27"/>
          <w:szCs w:val="27"/>
        </w:rPr>
        <w:t>气体灭火系统的设置要求</w:t>
      </w:r>
    </w:p>
    <w:p>
      <w:pPr>
        <w:keepNext w:val="0"/>
        <w:keepLines w:val="0"/>
        <w:widowControl/>
        <w:suppressLineNumbers w:val="0"/>
        <w:spacing w:before="0" w:beforeAutospacing="0" w:after="240" w:afterAutospacing="0"/>
        <w:ind w:left="0" w:right="0"/>
        <w:jc w:val="left"/>
      </w:pPr>
    </w:p>
    <w:p>
      <w:pPr>
        <w:keepNext w:val="0"/>
        <w:keepLines w:val="0"/>
        <w:widowControl/>
        <w:suppressLineNumbers w:val="0"/>
        <w:pBdr>
          <w:top w:val="none" w:color="auto" w:sz="0" w:space="0"/>
        </w:pBdr>
        <w:spacing w:before="0" w:beforeAutospacing="0" w:after="15" w:afterAutospacing="0"/>
        <w:ind w:left="0" w:right="0"/>
        <w:jc w:val="left"/>
        <w:rPr>
          <w:sz w:val="27"/>
          <w:szCs w:val="27"/>
        </w:rPr>
      </w:pPr>
      <w:r>
        <w:rPr>
          <w:rFonts w:ascii="宋体" w:hAnsi="宋体" w:eastAsia="宋体" w:cs="宋体"/>
          <w:sz w:val="27"/>
          <w:szCs w:val="27"/>
        </w:rPr>
        <w:t xml:space="preserve">4） 简析维修单位对储瓶间气体灭火设备维修时存在的问题。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FF0000"/>
          <w:sz w:val="27"/>
          <w:szCs w:val="27"/>
        </w:rPr>
        <w:t>正确答案</w:t>
      </w:r>
      <w:r>
        <w:rPr>
          <w:rFonts w:ascii="宋体" w:hAnsi="宋体" w:eastAsia="宋体" w:cs="宋体"/>
          <w:sz w:val="27"/>
          <w:szCs w:val="27"/>
        </w:rPr>
        <w:t>】 维修单位派人到现场安装了缺失组件，题干未说明具体缺失组件，如果属于压力管路上的组件，应考虑相关试压冲洗全部要求以及组件、底座防锈要求，应按照相关程序做好进场检验安装质量调试验收等所有施工验收规范的一切要求。</w:t>
      </w:r>
      <w:r>
        <w:rPr>
          <w:rFonts w:ascii="宋体" w:hAnsi="宋体" w:eastAsia="宋体" w:cs="宋体"/>
          <w:sz w:val="27"/>
          <w:szCs w:val="27"/>
        </w:rPr>
        <w:br w:type="textWrapping"/>
      </w:r>
      <w:r>
        <w:rPr>
          <w:rFonts w:ascii="宋体" w:hAnsi="宋体" w:eastAsia="宋体" w:cs="宋体"/>
          <w:sz w:val="27"/>
          <w:szCs w:val="27"/>
        </w:rPr>
        <w:t>对2#灭火剂储瓶补压至设计压力。不应现场补压，而应该将低于要求压力的2#灭火剂储瓶运到具备相关灭火气体维修厂家进行检修，根据情况先检查压力不足的原因，更换容器阀上密封件等相关零配件，检查灭火剂瓶上永久性标示的相关技术参数，然后再充装相关同型号规格灭火剂或相应升压气体，使其完全符合国家相关规范及设计要求，依据《气体灭火系统设计规范》（GB 50370-2005）条文说明3.3.9，七氟丙烷20℃时的蒸气压为0.39MPa。（绝对压力）</w:t>
      </w:r>
      <w:r>
        <w:rPr>
          <w:rFonts w:ascii="宋体" w:hAnsi="宋体" w:eastAsia="宋体" w:cs="宋体"/>
          <w:sz w:val="27"/>
          <w:szCs w:val="27"/>
        </w:rPr>
        <w:br w:type="textWrapping"/>
      </w:r>
      <w:r>
        <w:rPr>
          <w:rFonts w:ascii="宋体" w:hAnsi="宋体" w:eastAsia="宋体" w:cs="宋体"/>
          <w:sz w:val="27"/>
          <w:szCs w:val="27"/>
        </w:rPr>
        <w:t xml:space="preserve">七氟丙烷在环境温度下储存，其自身蒸气压不足以将灭火剂从灭火系统中输送喷放到防护区。为此，只有在储存容器中采用其他气体给灭火剂增压。规定采用的增压气体为氮气。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006600"/>
          <w:sz w:val="27"/>
          <w:szCs w:val="27"/>
        </w:rPr>
        <w:t>答案解析</w:t>
      </w:r>
      <w:r>
        <w:rPr>
          <w:rFonts w:ascii="宋体" w:hAnsi="宋体" w:eastAsia="宋体" w:cs="宋体"/>
          <w:sz w:val="27"/>
          <w:szCs w:val="27"/>
        </w:rPr>
        <w:t xml:space="preserve">】 （2015年真题）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b/>
          <w:sz w:val="27"/>
          <w:szCs w:val="27"/>
        </w:rPr>
        <w:t>本题知识点：</w:t>
      </w:r>
      <w:r>
        <w:rPr>
          <w:rFonts w:ascii="宋体" w:hAnsi="宋体" w:eastAsia="宋体" w:cs="宋体"/>
          <w:sz w:val="27"/>
          <w:szCs w:val="27"/>
        </w:rPr>
        <w:t>气体灭火系统的设置要求</w:t>
      </w:r>
    </w:p>
    <w:p>
      <w:pPr>
        <w:keepNext w:val="0"/>
        <w:keepLines w:val="0"/>
        <w:widowControl/>
        <w:suppressLineNumbers w:val="0"/>
        <w:spacing w:before="0" w:beforeAutospacing="0" w:after="240" w:afterAutospacing="0"/>
        <w:ind w:left="0" w:right="0"/>
        <w:jc w:val="left"/>
      </w:pPr>
    </w:p>
    <w:p>
      <w:pPr>
        <w:keepNext w:val="0"/>
        <w:keepLines w:val="0"/>
        <w:widowControl/>
        <w:suppressLineNumbers w:val="0"/>
        <w:jc w:val="left"/>
      </w:pP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5. 某电厂调度楼共6层，设置了火灾自动报警系统、气体[00:06:49-00:07:05，PPT同步删除，请将“XX”删除。]自动报警探测器每个总线回路最大负载能力为256个报警点，每层有70个报警点，共分2个电线回路，其中一层至三层为第一回路，四层至六层为第二回路。每个楼层弱电井中安装1只总线短路隔离器，在本楼层总线出现短路时保护其他楼层的报警设备功能不受影响。</w:t>
      </w:r>
      <w:r>
        <w:rPr>
          <w:rFonts w:ascii="宋体" w:hAnsi="宋体" w:eastAsia="宋体" w:cs="宋体"/>
          <w:sz w:val="27"/>
          <w:szCs w:val="27"/>
        </w:rPr>
        <w:br w:type="textWrapping"/>
      </w:r>
      <w:r>
        <w:rPr>
          <w:rFonts w:ascii="宋体" w:hAnsi="宋体" w:eastAsia="宋体" w:cs="宋体"/>
          <w:sz w:val="27"/>
          <w:szCs w:val="27"/>
        </w:rPr>
        <w:t>二层一个设备间布置28台电力控制柜，顶棚安装了点型光电感烟探测器，控制柜内火灾探测采用管路式吸气感烟火灾探测器。设备间共设有1台单管吸烟气式感烟火灾探测器，其采样主管长45m，敷设在电力控制柜上方，通过毛细采样管进入每个电力控制柜，采样孔直径均为3mm。消防控制室能够接收到管路吸气式感烟火灾探测器的报警及故障信号。</w:t>
      </w:r>
      <w:r>
        <w:rPr>
          <w:rFonts w:ascii="宋体" w:hAnsi="宋体" w:eastAsia="宋体" w:cs="宋体"/>
          <w:sz w:val="27"/>
          <w:szCs w:val="27"/>
        </w:rPr>
        <w:br w:type="textWrapping"/>
      </w:r>
      <w:r>
        <w:rPr>
          <w:rFonts w:ascii="宋体" w:hAnsi="宋体" w:eastAsia="宋体" w:cs="宋体"/>
          <w:sz w:val="27"/>
          <w:szCs w:val="27"/>
        </w:rPr>
        <w:t>四层主控制室为一个气体灭火防护区，安装了4台柜式预制七氟丙烷灭火装置，充压压力为4.2Mpa。自动联动模拟喷气检测时，有2台气体灭火装置没有启动，启动的2台灭火装置动作时差为4s。经检查确认，气体灭火控制功能正常。</w:t>
      </w:r>
      <w:r>
        <w:rPr>
          <w:rFonts w:ascii="宋体" w:hAnsi="宋体" w:eastAsia="宋体" w:cs="宋体"/>
          <w:sz w:val="27"/>
          <w:szCs w:val="27"/>
        </w:rPr>
        <w:br w:type="textWrapping"/>
      </w:r>
      <w:r>
        <w:rPr>
          <w:rFonts w:ascii="宋体" w:hAnsi="宋体" w:eastAsia="宋体" w:cs="宋体"/>
          <w:sz w:val="27"/>
          <w:szCs w:val="27"/>
        </w:rPr>
        <w:t>使用单位拟对一层重新装修改造，走道（宽1.5m）采用通透面积占吊顶面积12%的格栅吊顶。在部分房间增加空调送风口，将一个房间改造为吸烟室。</w:t>
      </w:r>
      <w:r>
        <w:rPr>
          <w:rFonts w:ascii="宋体" w:hAnsi="宋体" w:eastAsia="宋体" w:cs="宋体"/>
          <w:sz w:val="27"/>
          <w:szCs w:val="27"/>
        </w:rPr>
        <w:br w:type="textWrapping"/>
      </w:r>
      <w:r>
        <w:rPr>
          <w:rFonts w:ascii="宋体" w:hAnsi="宋体" w:eastAsia="宋体" w:cs="宋体"/>
          <w:sz w:val="27"/>
          <w:szCs w:val="27"/>
        </w:rPr>
        <w:t xml:space="preserve">根据以上材料，回答问题：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b/>
          <w:sz w:val="27"/>
          <w:szCs w:val="27"/>
        </w:rPr>
        <w:t>本题知识点：</w:t>
      </w:r>
      <w:r>
        <w:rPr>
          <w:rFonts w:ascii="宋体" w:hAnsi="宋体" w:eastAsia="宋体" w:cs="宋体"/>
          <w:sz w:val="27"/>
          <w:szCs w:val="27"/>
        </w:rPr>
        <w:t xml:space="preserve">火灾自动报警系统故障分析及处理,火灾自动报警系统的设计要求,气体灭火系统的设计参数,点型火灾探测器功能验收要求, </w:t>
      </w:r>
    </w:p>
    <w:p>
      <w:pPr>
        <w:keepNext w:val="0"/>
        <w:keepLines w:val="0"/>
        <w:widowControl/>
        <w:suppressLineNumbers w:val="0"/>
        <w:pBdr>
          <w:top w:val="none" w:color="auto" w:sz="0" w:space="0"/>
        </w:pBdr>
        <w:spacing w:before="0" w:beforeAutospacing="0" w:after="15" w:afterAutospacing="0"/>
        <w:ind w:left="0" w:right="0"/>
        <w:jc w:val="left"/>
        <w:rPr>
          <w:sz w:val="27"/>
          <w:szCs w:val="27"/>
        </w:rPr>
      </w:pPr>
      <w:r>
        <w:rPr>
          <w:rFonts w:ascii="宋体" w:hAnsi="宋体" w:eastAsia="宋体" w:cs="宋体"/>
          <w:sz w:val="27"/>
          <w:szCs w:val="27"/>
        </w:rPr>
        <w:t xml:space="preserve">1） 对该生产综合楼火灾自动报警系统设置问题进行分析，提出改进措施。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FF0000"/>
          <w:sz w:val="27"/>
          <w:szCs w:val="27"/>
        </w:rPr>
        <w:t>正确答案</w:t>
      </w:r>
      <w:r>
        <w:rPr>
          <w:rFonts w:ascii="宋体" w:hAnsi="宋体" w:eastAsia="宋体" w:cs="宋体"/>
          <w:sz w:val="27"/>
          <w:szCs w:val="27"/>
        </w:rPr>
        <w:t>】 依据《火灾自动报警系统设计规范》3.1.5 任一台火灾报警控制器所连接的火灾探测器、手动火灾报警按钮和模块等设备总数和地址总数，均不应超过3200点，其中每一总线回路连接设备的总数不宜超过200点，且应留有不少于额定容量10%的余量；</w:t>
      </w:r>
      <w:r>
        <w:rPr>
          <w:rFonts w:ascii="宋体" w:hAnsi="宋体" w:eastAsia="宋体" w:cs="宋体"/>
          <w:sz w:val="27"/>
          <w:szCs w:val="27"/>
        </w:rPr>
        <w:br w:type="textWrapping"/>
      </w:r>
      <w:r>
        <w:rPr>
          <w:rFonts w:ascii="宋体" w:hAnsi="宋体" w:eastAsia="宋体" w:cs="宋体"/>
          <w:sz w:val="27"/>
          <w:szCs w:val="27"/>
        </w:rPr>
        <w:t>任一台消防联动控制器地址总数或火灾报警控制器（联动型）所控制的各类模块总数不应超过1600点，每一联动总线回路连接设备的总数不宜超过100点，且应留有不少于额定容量10%的余量。</w:t>
      </w:r>
      <w:r>
        <w:rPr>
          <w:rFonts w:ascii="宋体" w:hAnsi="宋体" w:eastAsia="宋体" w:cs="宋体"/>
          <w:sz w:val="27"/>
          <w:szCs w:val="27"/>
        </w:rPr>
        <w:br w:type="textWrapping"/>
      </w:r>
      <w:r>
        <w:rPr>
          <w:rFonts w:ascii="宋体" w:hAnsi="宋体" w:eastAsia="宋体" w:cs="宋体"/>
          <w:sz w:val="27"/>
          <w:szCs w:val="27"/>
        </w:rPr>
        <w:t>火规3.1.5 每个回路设置180个地址总数，情景描述知道：整个楼共6层，火灾报警控制器目前分为两个回路，每个回路管3层，每层有70个报警点，那么每个回路目前实际控制点数是210个报警点，也就是地址总数为210，建议修改为3个总线回路，这样每个回路就只管两层控制140个报警点，低于180，较合适；</w:t>
      </w:r>
      <w:r>
        <w:rPr>
          <w:rFonts w:ascii="宋体" w:hAnsi="宋体" w:eastAsia="宋体" w:cs="宋体"/>
          <w:sz w:val="27"/>
          <w:szCs w:val="27"/>
        </w:rPr>
        <w:br w:type="textWrapping"/>
      </w:r>
      <w:r>
        <w:rPr>
          <w:rFonts w:ascii="宋体" w:hAnsi="宋体" w:eastAsia="宋体" w:cs="宋体"/>
          <w:sz w:val="27"/>
          <w:szCs w:val="27"/>
        </w:rPr>
        <w:t>依据《火灾自动报警系统设计规范》3.1.6 系统总线上应设置总线短路隔离器，每只总线短路隔离器保护的火灾探测器、手动火灾报警按钮和模块等消防设备的总数不应超过32点；总线穿越防火分区时，应在穿越处设置总线短路隔离器。</w:t>
      </w:r>
      <w:r>
        <w:rPr>
          <w:rFonts w:ascii="宋体" w:hAnsi="宋体" w:eastAsia="宋体" w:cs="宋体"/>
          <w:sz w:val="27"/>
          <w:szCs w:val="27"/>
        </w:rPr>
        <w:br w:type="textWrapping"/>
      </w:r>
      <w:r>
        <w:rPr>
          <w:rFonts w:ascii="宋体" w:hAnsi="宋体" w:eastAsia="宋体" w:cs="宋体"/>
          <w:sz w:val="27"/>
          <w:szCs w:val="27"/>
        </w:rPr>
        <w:t xml:space="preserve">从隔离器来说，新火规3.1.6规定每个总线短路隔离器保护的探头、手报和模块等消防设备的总数不应超过32点，题目是每层70个点设置一个，应修改为每层3只总线短路隔离器，每只隔离23个点左右较合适。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006600"/>
          <w:sz w:val="27"/>
          <w:szCs w:val="27"/>
        </w:rPr>
        <w:t>答案解析</w:t>
      </w:r>
      <w:r>
        <w:rPr>
          <w:rFonts w:ascii="宋体" w:hAnsi="宋体" w:eastAsia="宋体" w:cs="宋体"/>
          <w:sz w:val="27"/>
          <w:szCs w:val="27"/>
        </w:rPr>
        <w:t xml:space="preserve">】 （2015年真题）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b/>
          <w:sz w:val="27"/>
          <w:szCs w:val="27"/>
        </w:rPr>
        <w:t>本题知识点：</w:t>
      </w:r>
      <w:r>
        <w:rPr>
          <w:rFonts w:ascii="宋体" w:hAnsi="宋体" w:eastAsia="宋体" w:cs="宋体"/>
          <w:sz w:val="27"/>
          <w:szCs w:val="27"/>
        </w:rPr>
        <w:t>火灾自动报警系统的设计要求</w:t>
      </w:r>
    </w:p>
    <w:p>
      <w:pPr>
        <w:keepNext w:val="0"/>
        <w:keepLines w:val="0"/>
        <w:widowControl/>
        <w:suppressLineNumbers w:val="0"/>
        <w:spacing w:before="0" w:beforeAutospacing="0" w:after="240" w:afterAutospacing="0"/>
        <w:ind w:left="0" w:right="0"/>
        <w:jc w:val="left"/>
      </w:pPr>
    </w:p>
    <w:p>
      <w:pPr>
        <w:keepNext w:val="0"/>
        <w:keepLines w:val="0"/>
        <w:widowControl/>
        <w:suppressLineNumbers w:val="0"/>
        <w:pBdr>
          <w:top w:val="none" w:color="auto" w:sz="0" w:space="0"/>
        </w:pBdr>
        <w:spacing w:before="0" w:beforeAutospacing="0" w:after="15" w:afterAutospacing="0"/>
        <w:ind w:left="0" w:right="0"/>
        <w:jc w:val="left"/>
        <w:rPr>
          <w:sz w:val="27"/>
          <w:szCs w:val="27"/>
        </w:rPr>
      </w:pPr>
      <w:r>
        <w:rPr>
          <w:rFonts w:ascii="宋体" w:hAnsi="宋体" w:eastAsia="宋体" w:cs="宋体"/>
          <w:sz w:val="27"/>
          <w:szCs w:val="27"/>
        </w:rPr>
        <w:t xml:space="preserve">2） 简述主控室气体灭火系统充压压力和启动时间存在的问题。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FF0000"/>
          <w:sz w:val="27"/>
          <w:szCs w:val="27"/>
        </w:rPr>
        <w:t>正确答案</w:t>
      </w:r>
      <w:r>
        <w:rPr>
          <w:rFonts w:ascii="宋体" w:hAnsi="宋体" w:eastAsia="宋体" w:cs="宋体"/>
          <w:sz w:val="27"/>
          <w:szCs w:val="27"/>
        </w:rPr>
        <w:t>】 根据实务教材第三篇第六章第五节：</w:t>
      </w:r>
      <w:r>
        <w:rPr>
          <w:rFonts w:ascii="宋体" w:hAnsi="宋体" w:eastAsia="宋体" w:cs="宋体"/>
          <w:sz w:val="27"/>
          <w:szCs w:val="27"/>
        </w:rPr>
        <w:br w:type="textWrapping"/>
      </w:r>
      <w:r>
        <w:rPr>
          <w:rFonts w:ascii="宋体" w:hAnsi="宋体" w:eastAsia="宋体" w:cs="宋体"/>
          <w:sz w:val="27"/>
          <w:szCs w:val="27"/>
        </w:rPr>
        <w:t>防护区内设置的预制灭火系统的充压压力不应大于2.5MPa。</w:t>
      </w:r>
      <w:r>
        <w:rPr>
          <w:rFonts w:ascii="宋体" w:hAnsi="宋体" w:eastAsia="宋体" w:cs="宋体"/>
          <w:sz w:val="27"/>
          <w:szCs w:val="27"/>
        </w:rPr>
        <w:br w:type="textWrapping"/>
      </w:r>
      <w:r>
        <w:rPr>
          <w:rFonts w:ascii="宋体" w:hAnsi="宋体" w:eastAsia="宋体" w:cs="宋体"/>
          <w:sz w:val="27"/>
          <w:szCs w:val="27"/>
        </w:rPr>
        <w:t>综合教材第三篇第七章第四节：</w:t>
      </w:r>
      <w:r>
        <w:rPr>
          <w:rFonts w:ascii="宋体" w:hAnsi="宋体" w:eastAsia="宋体" w:cs="宋体"/>
          <w:sz w:val="27"/>
          <w:szCs w:val="27"/>
        </w:rPr>
        <w:br w:type="textWrapping"/>
      </w:r>
      <w:r>
        <w:rPr>
          <w:rFonts w:ascii="宋体" w:hAnsi="宋体" w:eastAsia="宋体" w:cs="宋体"/>
          <w:sz w:val="27"/>
          <w:szCs w:val="27"/>
        </w:rPr>
        <w:t>防护区内设置的预制灭火系统的充压压力不应大于2.5MPa。</w:t>
      </w:r>
      <w:r>
        <w:rPr>
          <w:rFonts w:ascii="宋体" w:hAnsi="宋体" w:eastAsia="宋体" w:cs="宋体"/>
          <w:sz w:val="27"/>
          <w:szCs w:val="27"/>
        </w:rPr>
        <w:br w:type="textWrapping"/>
      </w:r>
      <w:r>
        <w:rPr>
          <w:rFonts w:ascii="宋体" w:hAnsi="宋体" w:eastAsia="宋体" w:cs="宋体"/>
          <w:sz w:val="27"/>
          <w:szCs w:val="27"/>
        </w:rPr>
        <w:t>《气体灭火系统设计规范》条文说明3.3.9 为了设计方便，设定了三个级别：系统管网长、流损大的，可选用4.2MPa及5.6MPa增压级；</w:t>
      </w:r>
      <w:r>
        <w:rPr>
          <w:rFonts w:ascii="宋体" w:hAnsi="宋体" w:eastAsia="宋体" w:cs="宋体"/>
          <w:sz w:val="27"/>
          <w:szCs w:val="27"/>
        </w:rPr>
        <w:br w:type="textWrapping"/>
      </w:r>
      <w:r>
        <w:rPr>
          <w:rFonts w:ascii="宋体" w:hAnsi="宋体" w:eastAsia="宋体" w:cs="宋体"/>
          <w:sz w:val="27"/>
          <w:szCs w:val="27"/>
        </w:rPr>
        <w:t>管网短、流损小的，可选用2.5MPa增压级。</w:t>
      </w:r>
      <w:r>
        <w:rPr>
          <w:rFonts w:ascii="宋体" w:hAnsi="宋体" w:eastAsia="宋体" w:cs="宋体"/>
          <w:sz w:val="27"/>
          <w:szCs w:val="27"/>
        </w:rPr>
        <w:br w:type="textWrapping"/>
      </w:r>
      <w:r>
        <w:rPr>
          <w:rFonts w:ascii="宋体" w:hAnsi="宋体" w:eastAsia="宋体" w:cs="宋体"/>
          <w:sz w:val="27"/>
          <w:szCs w:val="27"/>
        </w:rPr>
        <w:t>5.6MPa及4.2MPa是等同采用了ISO 14520及《洁净气体灭火剂灭火系统设计标准》NFPA 2001标准的规定；</w:t>
      </w:r>
      <w:r>
        <w:rPr>
          <w:rFonts w:ascii="宋体" w:hAnsi="宋体" w:eastAsia="宋体" w:cs="宋体"/>
          <w:sz w:val="27"/>
          <w:szCs w:val="27"/>
        </w:rPr>
        <w:br w:type="textWrapping"/>
      </w:r>
      <w:r>
        <w:rPr>
          <w:rFonts w:ascii="宋体" w:hAnsi="宋体" w:eastAsia="宋体" w:cs="宋体"/>
          <w:sz w:val="27"/>
          <w:szCs w:val="27"/>
        </w:rPr>
        <w:t>增加的5.6MPa增压级是为了满足我国通常采用的组合分配系统的设计需要，即在一些距离储瓶间较远防护区也能达到喷射时间不大于8s的设计条件。</w:t>
      </w:r>
      <w:r>
        <w:rPr>
          <w:rFonts w:ascii="宋体" w:hAnsi="宋体" w:eastAsia="宋体" w:cs="宋体"/>
          <w:sz w:val="27"/>
          <w:szCs w:val="27"/>
        </w:rPr>
        <w:br w:type="textWrapping"/>
      </w:r>
      <w:r>
        <w:rPr>
          <w:rFonts w:ascii="宋体" w:hAnsi="宋体" w:eastAsia="宋体" w:cs="宋体"/>
          <w:sz w:val="27"/>
          <w:szCs w:val="27"/>
        </w:rPr>
        <w:t>情景描述四层主控制室柜式预制七氟丙烷灭火装置充压压力为4.2MPa不符合要求，实际上市面上也不应该有不符合国家规范规定以外的预制七氟丙烷灭火装置销售，这方面也不可能有通过国家相关部门的管理控制的非法证书检验报告等的消防产品面世。</w:t>
      </w:r>
      <w:r>
        <w:rPr>
          <w:rFonts w:ascii="宋体" w:hAnsi="宋体" w:eastAsia="宋体" w:cs="宋体"/>
          <w:sz w:val="27"/>
          <w:szCs w:val="27"/>
        </w:rPr>
        <w:br w:type="textWrapping"/>
      </w:r>
      <w:r>
        <w:rPr>
          <w:rFonts w:ascii="宋体" w:hAnsi="宋体" w:eastAsia="宋体" w:cs="宋体"/>
          <w:sz w:val="27"/>
          <w:szCs w:val="27"/>
        </w:rPr>
        <w:t>依据《气体灭火系统设计规范》3.1.15 同一防护区内的预制灭火系统装置多于1台时，必须能同时启动.其动作响应时差不得大于2s。</w:t>
      </w:r>
      <w:r>
        <w:rPr>
          <w:rFonts w:ascii="宋体" w:hAnsi="宋体" w:eastAsia="宋体" w:cs="宋体"/>
          <w:sz w:val="27"/>
          <w:szCs w:val="27"/>
        </w:rPr>
        <w:br w:type="textWrapping"/>
      </w:r>
      <w:r>
        <w:rPr>
          <w:rFonts w:ascii="宋体" w:hAnsi="宋体" w:eastAsia="宋体" w:cs="宋体"/>
          <w:sz w:val="27"/>
          <w:szCs w:val="27"/>
        </w:rPr>
        <w:t>条文说明3.1.15 为确保有效地扑灭火灾，防护区内设置的多台预制灭火系统装置必须同时启动，其动作响应时间差也应有严格的要求，本条规定是经过多次相关试验所证实的。</w:t>
      </w:r>
      <w:r>
        <w:rPr>
          <w:rFonts w:ascii="宋体" w:hAnsi="宋体" w:eastAsia="宋体" w:cs="宋体"/>
          <w:sz w:val="27"/>
          <w:szCs w:val="27"/>
        </w:rPr>
        <w:br w:type="textWrapping"/>
      </w:r>
      <w:r>
        <w:rPr>
          <w:rFonts w:ascii="宋体" w:hAnsi="宋体" w:eastAsia="宋体" w:cs="宋体"/>
          <w:sz w:val="27"/>
          <w:szCs w:val="27"/>
        </w:rPr>
        <w:t xml:space="preserve">情景描述中自动联动模拟喷气检测2台气体灭火装置没有启动则启动时间无穷大，启动的2台灭火装置动作时差为4s，检查确认气体灭火控制功能正常，不属于主机逻辑控制问题，那么就是现场灭火装置的反应动作问题。故四台均不符合要求。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006600"/>
          <w:sz w:val="27"/>
          <w:szCs w:val="27"/>
        </w:rPr>
        <w:t>答案解析</w:t>
      </w:r>
      <w:r>
        <w:rPr>
          <w:rFonts w:ascii="宋体" w:hAnsi="宋体" w:eastAsia="宋体" w:cs="宋体"/>
          <w:sz w:val="27"/>
          <w:szCs w:val="27"/>
        </w:rPr>
        <w:t xml:space="preserve">】 （2015年真题）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b/>
          <w:sz w:val="27"/>
          <w:szCs w:val="27"/>
        </w:rPr>
        <w:t>本题知识点：</w:t>
      </w:r>
      <w:r>
        <w:rPr>
          <w:rFonts w:ascii="宋体" w:hAnsi="宋体" w:eastAsia="宋体" w:cs="宋体"/>
          <w:sz w:val="27"/>
          <w:szCs w:val="27"/>
        </w:rPr>
        <w:t>气体灭火系统的设计参数</w:t>
      </w:r>
    </w:p>
    <w:p>
      <w:pPr>
        <w:keepNext w:val="0"/>
        <w:keepLines w:val="0"/>
        <w:widowControl/>
        <w:suppressLineNumbers w:val="0"/>
        <w:spacing w:before="0" w:beforeAutospacing="0" w:after="240" w:afterAutospacing="0"/>
        <w:ind w:left="0" w:right="0"/>
        <w:jc w:val="left"/>
      </w:pPr>
    </w:p>
    <w:p>
      <w:pPr>
        <w:keepNext w:val="0"/>
        <w:keepLines w:val="0"/>
        <w:widowControl/>
        <w:suppressLineNumbers w:val="0"/>
        <w:pBdr>
          <w:top w:val="none" w:color="auto" w:sz="0" w:space="0"/>
        </w:pBdr>
        <w:spacing w:before="0" w:beforeAutospacing="0" w:after="15" w:afterAutospacing="0"/>
        <w:ind w:left="0" w:right="0"/>
        <w:jc w:val="left"/>
        <w:rPr>
          <w:sz w:val="27"/>
          <w:szCs w:val="27"/>
        </w:rPr>
      </w:pPr>
      <w:r>
        <w:rPr>
          <w:rFonts w:ascii="宋体" w:hAnsi="宋体" w:eastAsia="宋体" w:cs="宋体"/>
          <w:sz w:val="27"/>
          <w:szCs w:val="27"/>
        </w:rPr>
        <w:t xml:space="preserve">3） 简述主控室2套气体灭火装置未启动的原因及解决措施。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FF0000"/>
          <w:sz w:val="27"/>
          <w:szCs w:val="27"/>
        </w:rPr>
        <w:t>正确答案</w:t>
      </w:r>
      <w:r>
        <w:rPr>
          <w:rFonts w:ascii="宋体" w:hAnsi="宋体" w:eastAsia="宋体" w:cs="宋体"/>
          <w:sz w:val="27"/>
          <w:szCs w:val="27"/>
        </w:rPr>
        <w:t>】 1）首先是气体灭火控制器到气体灭火装置之间的电气接线故障，松脱或接线错误，解决措施：检查测试相关线路，找出故障原因重新连接使恢复正常状态。</w:t>
      </w:r>
      <w:r>
        <w:rPr>
          <w:rFonts w:ascii="宋体" w:hAnsi="宋体" w:eastAsia="宋体" w:cs="宋体"/>
          <w:sz w:val="27"/>
          <w:szCs w:val="27"/>
        </w:rPr>
        <w:br w:type="textWrapping"/>
      </w:r>
      <w:r>
        <w:rPr>
          <w:rFonts w:ascii="宋体" w:hAnsi="宋体" w:eastAsia="宋体" w:cs="宋体"/>
          <w:sz w:val="27"/>
          <w:szCs w:val="27"/>
        </w:rPr>
        <w:t>2）电磁驱动器的电源电压过低导致电磁阀无法驱动动作，解决措施：检查测试相关线路电压看是否符合要求，使恢复正常电压指标要求。</w:t>
      </w:r>
      <w:r>
        <w:rPr>
          <w:rFonts w:ascii="宋体" w:hAnsi="宋体" w:eastAsia="宋体" w:cs="宋体"/>
          <w:sz w:val="27"/>
          <w:szCs w:val="27"/>
        </w:rPr>
        <w:br w:type="textWrapping"/>
      </w:r>
      <w:r>
        <w:rPr>
          <w:rFonts w:ascii="宋体" w:hAnsi="宋体" w:eastAsia="宋体" w:cs="宋体"/>
          <w:sz w:val="27"/>
          <w:szCs w:val="27"/>
        </w:rPr>
        <w:t>3）电磁驱动器未拧紧在驱动瓶上或铁芯指针不够长，导致驱动针未能打开驱动瓶，解决措施：拧紧电磁驱动器，通电检查电磁铁芯，观察其行程使能满足系统启动要求，且动作灵活，无卡阻现象。</w:t>
      </w:r>
      <w:r>
        <w:rPr>
          <w:rFonts w:ascii="宋体" w:hAnsi="宋体" w:eastAsia="宋体" w:cs="宋体"/>
          <w:sz w:val="27"/>
          <w:szCs w:val="27"/>
        </w:rPr>
        <w:br w:type="textWrapping"/>
      </w:r>
      <w:r>
        <w:rPr>
          <w:rFonts w:ascii="宋体" w:hAnsi="宋体" w:eastAsia="宋体" w:cs="宋体"/>
          <w:sz w:val="27"/>
          <w:szCs w:val="27"/>
        </w:rPr>
        <w:t>4）驱动气体瓶组上的电磁阀或称磁力启动装置故障无法动作，解决措施：检查器件动作情况，根据故障或损坏程度考虑维修恢复正常，还是彻底更换磁力启动装置使其恢复正常状态。</w:t>
      </w:r>
      <w:r>
        <w:rPr>
          <w:rFonts w:ascii="宋体" w:hAnsi="宋体" w:eastAsia="宋体" w:cs="宋体"/>
          <w:sz w:val="27"/>
          <w:szCs w:val="27"/>
        </w:rPr>
        <w:br w:type="textWrapping"/>
      </w:r>
      <w:r>
        <w:rPr>
          <w:rFonts w:ascii="宋体" w:hAnsi="宋体" w:eastAsia="宋体" w:cs="宋体"/>
          <w:sz w:val="27"/>
          <w:szCs w:val="27"/>
        </w:rPr>
        <w:t>5）电磁阀或称磁力启动装置保险销未拔，驱动针无法动作，解决措施：拔出保险销，使其恢复正常状态。</w:t>
      </w:r>
      <w:r>
        <w:rPr>
          <w:rFonts w:ascii="宋体" w:hAnsi="宋体" w:eastAsia="宋体" w:cs="宋体"/>
          <w:sz w:val="27"/>
          <w:szCs w:val="27"/>
        </w:rPr>
        <w:br w:type="textWrapping"/>
      </w:r>
      <w:r>
        <w:rPr>
          <w:rFonts w:ascii="宋体" w:hAnsi="宋体" w:eastAsia="宋体" w:cs="宋体"/>
          <w:sz w:val="27"/>
          <w:szCs w:val="27"/>
        </w:rPr>
        <w:t>6）由于潮湿使电磁驱动器电磁铁芯锈蚀，导致无法动作，解决措施：通电检查其是否锈死，维修或更换使其动作灵活，无卡阻现象。</w:t>
      </w:r>
      <w:r>
        <w:rPr>
          <w:rFonts w:ascii="宋体" w:hAnsi="宋体" w:eastAsia="宋体" w:cs="宋体"/>
          <w:sz w:val="27"/>
          <w:szCs w:val="27"/>
        </w:rPr>
        <w:br w:type="textWrapping"/>
      </w:r>
      <w:r>
        <w:rPr>
          <w:rFonts w:ascii="宋体" w:hAnsi="宋体" w:eastAsia="宋体" w:cs="宋体"/>
          <w:sz w:val="27"/>
          <w:szCs w:val="27"/>
        </w:rPr>
        <w:t>7）气动驱动装置容器内驱动气体压力低于设计压力，无法驱动灭火剂钢瓶容器阀或瓶头阀，解决措施：检查气动驱动装置内的驱动气体压力，重新重装使其满足设计压力，使其保障能够正常驱动相关容器阀或瓶头阀。</w:t>
      </w:r>
      <w:r>
        <w:rPr>
          <w:rFonts w:ascii="宋体" w:hAnsi="宋体" w:eastAsia="宋体" w:cs="宋体"/>
          <w:sz w:val="27"/>
          <w:szCs w:val="27"/>
        </w:rPr>
        <w:br w:type="textWrapping"/>
      </w:r>
      <w:r>
        <w:rPr>
          <w:rFonts w:ascii="宋体" w:hAnsi="宋体" w:eastAsia="宋体" w:cs="宋体"/>
          <w:sz w:val="27"/>
          <w:szCs w:val="27"/>
        </w:rPr>
        <w:t>8）气动驱动装置与灭火剂钢瓶容器阀之间的连接管堵塞，解决方法：疏通连接管后按相关规范规定的管道强度试验和气密性试验方法进行试验和吹扫。</w:t>
      </w:r>
      <w:r>
        <w:rPr>
          <w:rFonts w:ascii="宋体" w:hAnsi="宋体" w:eastAsia="宋体" w:cs="宋体"/>
          <w:sz w:val="27"/>
          <w:szCs w:val="27"/>
        </w:rPr>
        <w:br w:type="textWrapping"/>
      </w:r>
      <w:r>
        <w:rPr>
          <w:rFonts w:ascii="宋体" w:hAnsi="宋体" w:eastAsia="宋体" w:cs="宋体"/>
          <w:sz w:val="27"/>
          <w:szCs w:val="27"/>
        </w:rPr>
        <w:t>9）气体驱动管道上的气体单向阀长期不用锈蚀，导致堵塞，解决方法：维修气体单向阀或更换，使其恢复正常并按相关规范规定的阀门试验方法进行试验。使单向阀启闭灵活，无卡阻现象。</w:t>
      </w:r>
      <w:r>
        <w:rPr>
          <w:rFonts w:ascii="宋体" w:hAnsi="宋体" w:eastAsia="宋体" w:cs="宋体"/>
          <w:sz w:val="27"/>
          <w:szCs w:val="27"/>
        </w:rPr>
        <w:br w:type="textWrapping"/>
      </w:r>
      <w:r>
        <w:rPr>
          <w:rFonts w:ascii="宋体" w:hAnsi="宋体" w:eastAsia="宋体" w:cs="宋体"/>
          <w:sz w:val="27"/>
          <w:szCs w:val="27"/>
        </w:rPr>
        <w:t>10）驱动气体输送管道或连接件有损伤或连接不够紧密，导致驱动气体压力泄露，压力不足以驱动灭火剂钢瓶容器阀或瓶头阀，解决措施：检查相关输送管道或连接件，维修或更换损伤管道或连接件，并按相关规范规定的输送管道或连接件试验方法检验，使其完全恢复正常工作状态。</w:t>
      </w:r>
      <w:r>
        <w:rPr>
          <w:rFonts w:ascii="宋体" w:hAnsi="宋体" w:eastAsia="宋体" w:cs="宋体"/>
          <w:sz w:val="27"/>
          <w:szCs w:val="27"/>
        </w:rPr>
        <w:br w:type="textWrapping"/>
      </w:r>
      <w:r>
        <w:rPr>
          <w:rFonts w:ascii="宋体" w:hAnsi="宋体" w:eastAsia="宋体" w:cs="宋体"/>
          <w:sz w:val="27"/>
          <w:szCs w:val="27"/>
        </w:rPr>
        <w:t>11）安装在驱动气体输送管道上的低泄高封阀损坏，导致驱动气体启动时管道压力泄漏，压力不足以驱动灭火剂钢瓶容器阀或瓶头阀，解决方法：维修低泄高封阀或更换，使其恢复正常并按相关规范规定的阀门试验方法进行试验。使驱动管路恢复正常工作状态。</w:t>
      </w:r>
      <w:r>
        <w:rPr>
          <w:rFonts w:ascii="宋体" w:hAnsi="宋体" w:eastAsia="宋体" w:cs="宋体"/>
          <w:sz w:val="27"/>
          <w:szCs w:val="27"/>
        </w:rPr>
        <w:br w:type="textWrapping"/>
      </w:r>
      <w:r>
        <w:rPr>
          <w:rFonts w:ascii="宋体" w:hAnsi="宋体" w:eastAsia="宋体" w:cs="宋体"/>
          <w:sz w:val="27"/>
          <w:szCs w:val="27"/>
        </w:rPr>
        <w:t>12）灭火剂瓶头阀故障或损坏，解决方法：维修或更换瓶头阀，使其恢复正常并按相关规范规定的阀门试验方法进行试验。使其恢复正常工作状态。</w:t>
      </w:r>
      <w:r>
        <w:rPr>
          <w:rFonts w:ascii="宋体" w:hAnsi="宋体" w:eastAsia="宋体" w:cs="宋体"/>
          <w:sz w:val="27"/>
          <w:szCs w:val="27"/>
        </w:rPr>
        <w:br w:type="textWrapping"/>
      </w:r>
      <w:r>
        <w:rPr>
          <w:rFonts w:ascii="宋体" w:hAnsi="宋体" w:eastAsia="宋体" w:cs="宋体"/>
          <w:sz w:val="27"/>
          <w:szCs w:val="27"/>
        </w:rPr>
        <w:t>13）驱动瓶组输送管道连接错误，解决方法：重新正确连接。</w:t>
      </w:r>
      <w:r>
        <w:rPr>
          <w:rFonts w:ascii="宋体" w:hAnsi="宋体" w:eastAsia="宋体" w:cs="宋体"/>
          <w:sz w:val="27"/>
          <w:szCs w:val="27"/>
        </w:rPr>
        <w:br w:type="textWrapping"/>
      </w:r>
      <w:r>
        <w:rPr>
          <w:rFonts w:ascii="宋体" w:hAnsi="宋体" w:eastAsia="宋体" w:cs="宋体"/>
          <w:sz w:val="27"/>
          <w:szCs w:val="27"/>
        </w:rPr>
        <w:t>14）灭火剂储存容器内的压力不足或完全无压，解决方法：对灭火剂储存容器送厂检修重新维修，检查维修相关密封装置，补充灭火剂使灭火剂净重符合要求及充压使其符合设计要求或更换灭火剂储存容器，使整个灭火剂储存装置恢复正常状态。《气体灭火系统设计规范》3.1.15条文说明七氟丙烷20℃时的蒸气压为0.39MPa（绝对压力），七氟丙烷在环境温度下储存，其自身蒸气压不足以将灭火剂从灭火系统中输送喷放到防护区。为此，只有在储存容器中采用其他气体给灭火剂增压。规定采用的增压气体为氮气。</w:t>
      </w:r>
      <w:r>
        <w:rPr>
          <w:rFonts w:ascii="宋体" w:hAnsi="宋体" w:eastAsia="宋体" w:cs="宋体"/>
          <w:sz w:val="27"/>
          <w:szCs w:val="27"/>
        </w:rPr>
        <w:br w:type="textWrapping"/>
      </w:r>
      <w:r>
        <w:rPr>
          <w:rFonts w:ascii="宋体" w:hAnsi="宋体" w:eastAsia="宋体" w:cs="宋体"/>
          <w:sz w:val="27"/>
          <w:szCs w:val="27"/>
        </w:rPr>
        <w:t>15）灭火剂输送管道堵塞，使灭火剂无法释放到灭火保护区域，解决方法：应疏通管道，并按规范规定的管道强度试验和气密性试验的方法进行相关试验和吹扫，使其恢复正常工作状态。</w:t>
      </w:r>
      <w:r>
        <w:rPr>
          <w:rFonts w:ascii="宋体" w:hAnsi="宋体" w:eastAsia="宋体" w:cs="宋体"/>
          <w:sz w:val="27"/>
          <w:szCs w:val="27"/>
        </w:rPr>
        <w:br w:type="textWrapping"/>
      </w:r>
      <w:r>
        <w:rPr>
          <w:rFonts w:ascii="宋体" w:hAnsi="宋体" w:eastAsia="宋体" w:cs="宋体"/>
          <w:sz w:val="27"/>
          <w:szCs w:val="27"/>
        </w:rPr>
        <w:t xml:space="preserve">16）灭火剂瓶头阀上保险未取下，解决方法：及时取下保险，使其能正常接收驱动信号。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006600"/>
          <w:sz w:val="27"/>
          <w:szCs w:val="27"/>
        </w:rPr>
        <w:t>答案解析</w:t>
      </w:r>
      <w:r>
        <w:rPr>
          <w:rFonts w:ascii="宋体" w:hAnsi="宋体" w:eastAsia="宋体" w:cs="宋体"/>
          <w:sz w:val="27"/>
          <w:szCs w:val="27"/>
        </w:rPr>
        <w:t xml:space="preserve">】 （2015年真题）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b/>
          <w:sz w:val="27"/>
          <w:szCs w:val="27"/>
        </w:rPr>
        <w:t>本题知识点：</w:t>
      </w:r>
      <w:r>
        <w:rPr>
          <w:rFonts w:ascii="宋体" w:hAnsi="宋体" w:eastAsia="宋体" w:cs="宋体"/>
          <w:sz w:val="27"/>
          <w:szCs w:val="27"/>
        </w:rPr>
        <w:t>气体灭火系统的设计参数</w:t>
      </w:r>
    </w:p>
    <w:p>
      <w:pPr>
        <w:keepNext w:val="0"/>
        <w:keepLines w:val="0"/>
        <w:widowControl/>
        <w:suppressLineNumbers w:val="0"/>
        <w:spacing w:before="0" w:beforeAutospacing="0" w:after="240" w:afterAutospacing="0"/>
        <w:ind w:left="0" w:right="0"/>
        <w:jc w:val="left"/>
      </w:pPr>
    </w:p>
    <w:p>
      <w:pPr>
        <w:keepNext w:val="0"/>
        <w:keepLines w:val="0"/>
        <w:widowControl/>
        <w:suppressLineNumbers w:val="0"/>
        <w:pBdr>
          <w:top w:val="none" w:color="auto" w:sz="0" w:space="0"/>
        </w:pBdr>
        <w:spacing w:before="0" w:beforeAutospacing="0" w:after="15" w:afterAutospacing="0"/>
        <w:ind w:left="0" w:right="0"/>
        <w:jc w:val="left"/>
        <w:rPr>
          <w:sz w:val="27"/>
          <w:szCs w:val="27"/>
        </w:rPr>
      </w:pPr>
      <w:r>
        <w:rPr>
          <w:rFonts w:ascii="宋体" w:hAnsi="宋体" w:eastAsia="宋体" w:cs="宋体"/>
          <w:sz w:val="27"/>
          <w:szCs w:val="27"/>
        </w:rPr>
        <w:t xml:space="preserve">4） 按使用单位的改造要求，提出探测器设置和安装应注意的问题。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FF0000"/>
          <w:sz w:val="27"/>
          <w:szCs w:val="27"/>
        </w:rPr>
        <w:t>正确答案</w:t>
      </w:r>
      <w:r>
        <w:rPr>
          <w:rFonts w:ascii="宋体" w:hAnsi="宋体" w:eastAsia="宋体" w:cs="宋体"/>
          <w:sz w:val="27"/>
          <w:szCs w:val="27"/>
        </w:rPr>
        <w:t>】 本情景描述为走道（宽1.5m）采用通透面积占吊顶面积12%的格栅吊顶，所以走道的探测器应设置在吊顶下方。</w:t>
      </w:r>
      <w:r>
        <w:rPr>
          <w:rFonts w:ascii="宋体" w:hAnsi="宋体" w:eastAsia="宋体" w:cs="宋体"/>
          <w:sz w:val="27"/>
          <w:szCs w:val="27"/>
        </w:rPr>
        <w:br w:type="textWrapping"/>
      </w:r>
      <w:r>
        <w:rPr>
          <w:rFonts w:ascii="宋体" w:hAnsi="宋体" w:eastAsia="宋体" w:cs="宋体"/>
          <w:sz w:val="27"/>
          <w:szCs w:val="27"/>
        </w:rPr>
        <w:t xml:space="preserve">另外情景描述将一个房间改造为吸烟室，则应将本房间探测器设置为感温探测器。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006600"/>
          <w:sz w:val="27"/>
          <w:szCs w:val="27"/>
        </w:rPr>
        <w:t>答案解析</w:t>
      </w:r>
      <w:r>
        <w:rPr>
          <w:rFonts w:ascii="宋体" w:hAnsi="宋体" w:eastAsia="宋体" w:cs="宋体"/>
          <w:sz w:val="27"/>
          <w:szCs w:val="27"/>
        </w:rPr>
        <w:t xml:space="preserve">】 （2015年真题） </w:t>
      </w:r>
    </w:p>
    <w:p>
      <w:pPr>
        <w:keepNext w:val="0"/>
        <w:keepLines w:val="0"/>
        <w:widowControl/>
        <w:suppressLineNumbers w:val="0"/>
        <w:spacing w:before="0" w:beforeAutospacing="0" w:after="15" w:afterAutospacing="0"/>
        <w:ind w:left="0" w:right="0"/>
        <w:jc w:val="left"/>
      </w:pPr>
      <w:r>
        <w:rPr>
          <w:rFonts w:ascii="宋体" w:hAnsi="宋体" w:eastAsia="宋体" w:cs="宋体"/>
          <w:b/>
          <w:sz w:val="27"/>
          <w:szCs w:val="27"/>
        </w:rPr>
        <w:t>本题知识点：</w:t>
      </w:r>
      <w:r>
        <w:rPr>
          <w:rFonts w:ascii="宋体" w:hAnsi="宋体" w:eastAsia="宋体" w:cs="宋体"/>
          <w:sz w:val="27"/>
          <w:szCs w:val="27"/>
        </w:rPr>
        <w:t>点型火灾探测器功能验收要求,</w:t>
      </w:r>
    </w:p>
    <w:p>
      <w:pPr>
        <w:keepNext w:val="0"/>
        <w:keepLines w:val="0"/>
        <w:widowControl/>
        <w:suppressLineNumbers w:val="0"/>
        <w:jc w:val="left"/>
      </w:pP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6. 某建筑地下2层，地上40层，建筑高度137m，总面积116000m2，设有相应的消防设施。</w:t>
      </w:r>
      <w:r>
        <w:rPr>
          <w:rFonts w:ascii="宋体" w:hAnsi="宋体" w:eastAsia="宋体" w:cs="宋体"/>
          <w:sz w:val="27"/>
          <w:szCs w:val="27"/>
        </w:rPr>
        <w:br w:type="textWrapping"/>
      </w:r>
      <w:r>
        <w:rPr>
          <w:rFonts w:ascii="宋体" w:hAnsi="宋体" w:eastAsia="宋体" w:cs="宋体"/>
          <w:sz w:val="27"/>
          <w:szCs w:val="27"/>
        </w:rPr>
        <w:t>地下二层设有消防水泵房和540m3的室内消防水池，屋顶设置有效容积为40m3的可控消防水箱。其最低有效水位为141.000m。屋顶水箱间内分别设置消火栓系统和自动喷水灭火系统的稳压装置。</w:t>
      </w:r>
      <w:r>
        <w:rPr>
          <w:rFonts w:ascii="宋体" w:hAnsi="宋体" w:eastAsia="宋体" w:cs="宋体"/>
          <w:sz w:val="27"/>
          <w:szCs w:val="27"/>
        </w:rPr>
        <w:br w:type="textWrapping"/>
      </w:r>
      <w:r>
        <w:rPr>
          <w:rFonts w:ascii="宋体" w:hAnsi="宋体" w:eastAsia="宋体" w:cs="宋体"/>
          <w:sz w:val="27"/>
          <w:szCs w:val="27"/>
        </w:rPr>
        <w:t>消防水泵房分别设置2台（1用1备）消火栓给水泵和自动喷水给水泵。室内消火栓系统和自动喷水灭火系统均为高、中、低三个分区，中、低区由减压阀减压供水。</w:t>
      </w:r>
      <w:r>
        <w:rPr>
          <w:rFonts w:ascii="宋体" w:hAnsi="宋体" w:eastAsia="宋体" w:cs="宋体"/>
          <w:sz w:val="27"/>
          <w:szCs w:val="27"/>
        </w:rPr>
        <w:br w:type="textWrapping"/>
      </w:r>
      <w:r>
        <w:rPr>
          <w:rFonts w:ascii="宋体" w:hAnsi="宋体" w:eastAsia="宋体" w:cs="宋体"/>
          <w:sz w:val="27"/>
          <w:szCs w:val="27"/>
        </w:rPr>
        <w:t>地下二层自动给水灭火系统报警阀室集中设置8个湿式报警阀组，在此8个报警阀组安装了1个比例式减压阀组，减压阀组前无过滤器。</w:t>
      </w:r>
      <w:r>
        <w:rPr>
          <w:rFonts w:ascii="宋体" w:hAnsi="宋体" w:eastAsia="宋体" w:cs="宋体"/>
          <w:sz w:val="27"/>
          <w:szCs w:val="27"/>
        </w:rPr>
        <w:br w:type="textWrapping"/>
      </w:r>
      <w:r>
        <w:rPr>
          <w:rFonts w:ascii="宋体" w:hAnsi="宋体" w:eastAsia="宋体" w:cs="宋体"/>
          <w:sz w:val="27"/>
          <w:szCs w:val="27"/>
        </w:rPr>
        <w:t>2015年6月，维护单位对该建筑室内消火栓系统和自动喷水灭火系统进行了检测，情况如下：</w:t>
      </w:r>
      <w:r>
        <w:rPr>
          <w:rFonts w:ascii="宋体" w:hAnsi="宋体" w:eastAsia="宋体" w:cs="宋体"/>
          <w:sz w:val="27"/>
          <w:szCs w:val="27"/>
        </w:rPr>
        <w:br w:type="textWrapping"/>
      </w:r>
      <w:r>
        <w:rPr>
          <w:rFonts w:ascii="宋体" w:hAnsi="宋体" w:eastAsia="宋体" w:cs="宋体"/>
          <w:sz w:val="27"/>
          <w:szCs w:val="27"/>
        </w:rPr>
        <w:t>（1）检测40层屋顶实验消火栓时，其栓口静压为0.1Mpa；打开试验阀消火栓放水，消火栓给水泵自动启动，栓口压力为0.65Mpa。</w:t>
      </w:r>
      <w:r>
        <w:rPr>
          <w:rFonts w:ascii="宋体" w:hAnsi="宋体" w:eastAsia="宋体" w:cs="宋体"/>
          <w:sz w:val="27"/>
          <w:szCs w:val="27"/>
        </w:rPr>
        <w:br w:type="textWrapping"/>
      </w:r>
      <w:r>
        <w:rPr>
          <w:rFonts w:ascii="宋体" w:hAnsi="宋体" w:eastAsia="宋体" w:cs="宋体"/>
          <w:sz w:val="27"/>
          <w:szCs w:val="27"/>
        </w:rPr>
        <w:t>（2）检测发现，地下室8个湿式报警阀组的减压阀不定期出现超压现象。</w:t>
      </w:r>
      <w:r>
        <w:rPr>
          <w:rFonts w:ascii="宋体" w:hAnsi="宋体" w:eastAsia="宋体" w:cs="宋体"/>
          <w:sz w:val="27"/>
          <w:szCs w:val="27"/>
        </w:rPr>
        <w:br w:type="textWrapping"/>
      </w:r>
      <w:r>
        <w:rPr>
          <w:rFonts w:ascii="宋体" w:hAnsi="宋体" w:eastAsia="宋体" w:cs="宋体"/>
          <w:sz w:val="27"/>
          <w:szCs w:val="27"/>
        </w:rPr>
        <w:t xml:space="preserve">（3）检测自动喷水灭火系统，打开40层末端试水装置，水流指示器报警，报警阀组的水力警铃未报警；消防控制室未收到压力开关动作信号，5min内未接收到自动喷水给泵的信号。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b/>
          <w:sz w:val="27"/>
          <w:szCs w:val="27"/>
        </w:rPr>
        <w:t>本题知识点：</w:t>
      </w:r>
      <w:r>
        <w:rPr>
          <w:rFonts w:ascii="宋体" w:hAnsi="宋体" w:eastAsia="宋体" w:cs="宋体"/>
          <w:sz w:val="27"/>
          <w:szCs w:val="27"/>
        </w:rPr>
        <w:t xml:space="preserve">高位消防水箱的设计参数,室外消火栓的设置要求,室外消火栓的维护与管理,自动喷水灭火系统喷头的设置要求,自动喷水灭火系统故障分析及处理, </w:t>
      </w:r>
    </w:p>
    <w:p>
      <w:pPr>
        <w:keepNext w:val="0"/>
        <w:keepLines w:val="0"/>
        <w:widowControl/>
        <w:suppressLineNumbers w:val="0"/>
        <w:pBdr>
          <w:top w:val="none" w:color="auto" w:sz="0" w:space="0"/>
        </w:pBdr>
        <w:spacing w:before="0" w:beforeAutospacing="0" w:after="15" w:afterAutospacing="0"/>
        <w:ind w:left="0" w:right="0"/>
        <w:jc w:val="left"/>
        <w:rPr>
          <w:sz w:val="27"/>
          <w:szCs w:val="27"/>
        </w:rPr>
      </w:pPr>
      <w:r>
        <w:rPr>
          <w:rFonts w:ascii="宋体" w:hAnsi="宋体" w:eastAsia="宋体" w:cs="宋体"/>
          <w:sz w:val="27"/>
          <w:szCs w:val="27"/>
        </w:rPr>
        <w:t xml:space="preserve">1） 简析高位消防水箱有效容积是否符合消防规范规定。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FF0000"/>
          <w:sz w:val="27"/>
          <w:szCs w:val="27"/>
        </w:rPr>
        <w:t>正确答案</w:t>
      </w:r>
      <w:r>
        <w:rPr>
          <w:rFonts w:ascii="宋体" w:hAnsi="宋体" w:eastAsia="宋体" w:cs="宋体"/>
          <w:sz w:val="27"/>
          <w:szCs w:val="27"/>
        </w:rPr>
        <w:t>】 某建筑地下2层，地上40层，建筑高度137m，总面积116000m2，屋顶设置有效容积为40m2的可控消防水箱。其最低有效水位为141.000m。依据以上规范条文，当本建筑是住宅时，符合消防规范规定。</w:t>
      </w:r>
      <w:r>
        <w:rPr>
          <w:rFonts w:ascii="宋体" w:hAnsi="宋体" w:eastAsia="宋体" w:cs="宋体"/>
          <w:sz w:val="27"/>
          <w:szCs w:val="27"/>
        </w:rPr>
        <w:br w:type="textWrapping"/>
      </w:r>
      <w:r>
        <w:rPr>
          <w:rFonts w:ascii="宋体" w:hAnsi="宋体" w:eastAsia="宋体" w:cs="宋体"/>
          <w:sz w:val="27"/>
          <w:szCs w:val="27"/>
        </w:rPr>
        <w:t>当本建筑是公共建筑时，依照5.2.1-1应设为不应小于50m3。该建筑设置的为40m³不符合规范要求。</w:t>
      </w:r>
      <w:r>
        <w:rPr>
          <w:rFonts w:ascii="宋体" w:hAnsi="宋体" w:eastAsia="宋体" w:cs="宋体"/>
          <w:sz w:val="27"/>
          <w:szCs w:val="27"/>
        </w:rPr>
        <w:br w:type="textWrapping"/>
      </w:r>
      <w:r>
        <w:rPr>
          <w:rFonts w:ascii="宋体" w:hAnsi="宋体" w:eastAsia="宋体" w:cs="宋体"/>
          <w:sz w:val="27"/>
          <w:szCs w:val="27"/>
        </w:rPr>
        <w:t xml:space="preserve">当本建筑是公共建筑中的商店时，除按照5.2.1-1设为50m3外，考虑5.2.1-6情形，11.6万方，大于3万方应设为不应小于50m3，两者一致，故设为不应小于50m3。该建筑设置的为40m3不符合规范要求。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006600"/>
          <w:sz w:val="27"/>
          <w:szCs w:val="27"/>
        </w:rPr>
        <w:t>答案解析</w:t>
      </w:r>
      <w:r>
        <w:rPr>
          <w:rFonts w:ascii="宋体" w:hAnsi="宋体" w:eastAsia="宋体" w:cs="宋体"/>
          <w:sz w:val="27"/>
          <w:szCs w:val="27"/>
        </w:rPr>
        <w:t xml:space="preserve">】 （2015年真题）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b/>
          <w:sz w:val="27"/>
          <w:szCs w:val="27"/>
        </w:rPr>
        <w:t>本题知识点：</w:t>
      </w:r>
      <w:r>
        <w:rPr>
          <w:rFonts w:ascii="宋体" w:hAnsi="宋体" w:eastAsia="宋体" w:cs="宋体"/>
          <w:sz w:val="27"/>
          <w:szCs w:val="27"/>
        </w:rPr>
        <w:t xml:space="preserve">高位消防水箱的设计参数,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color w:val="0000FF"/>
          <w:sz w:val="27"/>
          <w:szCs w:val="27"/>
        </w:rPr>
        <w:t>【答疑编号10863004,点击提问】</w:t>
      </w:r>
      <w:r>
        <w:rPr>
          <w:rFonts w:ascii="宋体" w:hAnsi="宋体" w:eastAsia="宋体" w:cs="宋体"/>
          <w:sz w:val="27"/>
          <w:szCs w:val="27"/>
        </w:rPr>
        <w:t xml:space="preserve"> </w:t>
      </w:r>
    </w:p>
    <w:p>
      <w:pPr>
        <w:keepNext w:val="0"/>
        <w:keepLines w:val="0"/>
        <w:widowControl/>
        <w:suppressLineNumbers w:val="0"/>
        <w:spacing w:before="0" w:beforeAutospacing="0" w:after="240" w:afterAutospacing="0"/>
        <w:ind w:left="0" w:right="0"/>
        <w:jc w:val="left"/>
      </w:pPr>
    </w:p>
    <w:p>
      <w:pPr>
        <w:keepNext w:val="0"/>
        <w:keepLines w:val="0"/>
        <w:widowControl/>
        <w:suppressLineNumbers w:val="0"/>
        <w:pBdr>
          <w:top w:val="none" w:color="auto" w:sz="0" w:space="0"/>
        </w:pBdr>
        <w:spacing w:before="0" w:beforeAutospacing="0" w:after="15" w:afterAutospacing="0"/>
        <w:ind w:left="0" w:right="0"/>
        <w:jc w:val="left"/>
        <w:rPr>
          <w:sz w:val="27"/>
          <w:szCs w:val="27"/>
        </w:rPr>
      </w:pPr>
      <w:r>
        <w:rPr>
          <w:rFonts w:ascii="宋体" w:hAnsi="宋体" w:eastAsia="宋体" w:cs="宋体"/>
          <w:sz w:val="27"/>
          <w:szCs w:val="27"/>
        </w:rPr>
        <w:t xml:space="preserve">2） 屋顶试验消火栓静压和动压是否符合要求？如不符合要求，应如何解决？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FF0000"/>
          <w:sz w:val="27"/>
          <w:szCs w:val="27"/>
        </w:rPr>
        <w:t>正确答案</w:t>
      </w:r>
      <w:r>
        <w:rPr>
          <w:rFonts w:ascii="宋体" w:hAnsi="宋体" w:eastAsia="宋体" w:cs="宋体"/>
          <w:sz w:val="27"/>
          <w:szCs w:val="27"/>
        </w:rPr>
        <w:t xml:space="preserve">】 检测40层屋顶实验消火栓时，其栓口静压为0.1MPa；地上40层，建筑高度137m平均层高3.425m，水灭火设施最不利消火栓压力约为0.13425MPa不能满足不低于0.15MPa的要求，所以情景描述中屋顶水箱间内分别设置消火栓系统和自动喷水灭火系统的稳压装置。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006600"/>
          <w:sz w:val="27"/>
          <w:szCs w:val="27"/>
        </w:rPr>
        <w:t>答案解析</w:t>
      </w:r>
      <w:r>
        <w:rPr>
          <w:rFonts w:ascii="宋体" w:hAnsi="宋体" w:eastAsia="宋体" w:cs="宋体"/>
          <w:sz w:val="27"/>
          <w:szCs w:val="27"/>
        </w:rPr>
        <w:t xml:space="preserve">】 （2015年真题）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b/>
          <w:sz w:val="27"/>
          <w:szCs w:val="27"/>
        </w:rPr>
        <w:t>本题知识点：</w:t>
      </w:r>
      <w:r>
        <w:rPr>
          <w:rFonts w:ascii="宋体" w:hAnsi="宋体" w:eastAsia="宋体" w:cs="宋体"/>
          <w:sz w:val="27"/>
          <w:szCs w:val="27"/>
        </w:rPr>
        <w:t xml:space="preserve">室外消火栓的设置要求, </w:t>
      </w:r>
    </w:p>
    <w:p>
      <w:pPr>
        <w:keepNext w:val="0"/>
        <w:keepLines w:val="0"/>
        <w:widowControl/>
        <w:suppressLineNumbers w:val="0"/>
        <w:spacing w:before="0" w:beforeAutospacing="0" w:after="240" w:afterAutospacing="0"/>
        <w:ind w:left="0" w:right="0"/>
        <w:jc w:val="left"/>
      </w:pPr>
    </w:p>
    <w:p>
      <w:pPr>
        <w:keepNext w:val="0"/>
        <w:keepLines w:val="0"/>
        <w:widowControl/>
        <w:suppressLineNumbers w:val="0"/>
        <w:pBdr>
          <w:top w:val="none" w:color="auto" w:sz="0" w:space="0"/>
        </w:pBdr>
        <w:spacing w:before="0" w:beforeAutospacing="0" w:after="15" w:afterAutospacing="0"/>
        <w:ind w:left="0" w:right="0"/>
        <w:jc w:val="left"/>
        <w:rPr>
          <w:sz w:val="27"/>
          <w:szCs w:val="27"/>
        </w:rPr>
      </w:pPr>
      <w:r>
        <w:rPr>
          <w:rFonts w:ascii="宋体" w:hAnsi="宋体" w:eastAsia="宋体" w:cs="宋体"/>
          <w:sz w:val="27"/>
          <w:szCs w:val="27"/>
        </w:rPr>
        <w:t xml:space="preserve">3） 简述对该消火栓系统的检测方案。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FF0000"/>
          <w:sz w:val="27"/>
          <w:szCs w:val="27"/>
        </w:rPr>
        <w:t>正确答案</w:t>
      </w:r>
      <w:r>
        <w:rPr>
          <w:rFonts w:ascii="宋体" w:hAnsi="宋体" w:eastAsia="宋体" w:cs="宋体"/>
          <w:sz w:val="27"/>
          <w:szCs w:val="27"/>
        </w:rPr>
        <w:t>】 ①制定消火栓系统检测操作规程；</w:t>
      </w:r>
      <w:r>
        <w:rPr>
          <w:rFonts w:ascii="宋体" w:hAnsi="宋体" w:eastAsia="宋体" w:cs="宋体"/>
          <w:sz w:val="27"/>
          <w:szCs w:val="27"/>
        </w:rPr>
        <w:br w:type="textWrapping"/>
      </w:r>
      <w:r>
        <w:rPr>
          <w:rFonts w:ascii="宋体" w:hAnsi="宋体" w:eastAsia="宋体" w:cs="宋体"/>
          <w:sz w:val="27"/>
          <w:szCs w:val="27"/>
        </w:rPr>
        <w:t>②检测外部给水的市政供水、天然水源取水口、地下水井、消防水池、高位消防水箱等蓄水和供水设施设置位置、高度、水位、报警水位、出水量、已储水量等是否符合设计要求；</w:t>
      </w:r>
      <w:r>
        <w:rPr>
          <w:rFonts w:ascii="宋体" w:hAnsi="宋体" w:eastAsia="宋体" w:cs="宋体"/>
          <w:sz w:val="27"/>
          <w:szCs w:val="27"/>
        </w:rPr>
        <w:br w:type="textWrapping"/>
      </w:r>
      <w:r>
        <w:rPr>
          <w:rFonts w:ascii="宋体" w:hAnsi="宋体" w:eastAsia="宋体" w:cs="宋体"/>
          <w:sz w:val="27"/>
          <w:szCs w:val="27"/>
        </w:rPr>
        <w:t>共用水池水箱是否有不被挪作他用的技术措施，进出水管、溢流管、排水管等应符合设计要求，且溢流管是否采用间接排水；管道、阀门和进水浮球阀等应便于检修，人孔和爬梯位置应合理；消防水池吸水井、吸（出）水管喇叭口等设置位置应符合设计要求。</w:t>
      </w:r>
      <w:r>
        <w:rPr>
          <w:rFonts w:ascii="宋体" w:hAnsi="宋体" w:eastAsia="宋体" w:cs="宋体"/>
          <w:sz w:val="27"/>
          <w:szCs w:val="27"/>
        </w:rPr>
        <w:br w:type="textWrapping"/>
      </w:r>
      <w:r>
        <w:rPr>
          <w:rFonts w:ascii="宋体" w:hAnsi="宋体" w:eastAsia="宋体" w:cs="宋体"/>
          <w:sz w:val="27"/>
          <w:szCs w:val="27"/>
        </w:rPr>
        <w:t>当有江河湖海、水库和水塘等天然水源作为消防水源时应根据有效水文资料检查天然水源枯水期最低水位、常水位和洪水位时确保消防用水应符合设计要求；</w:t>
      </w:r>
      <w:r>
        <w:rPr>
          <w:rFonts w:ascii="宋体" w:hAnsi="宋体" w:eastAsia="宋体" w:cs="宋体"/>
          <w:sz w:val="27"/>
          <w:szCs w:val="27"/>
        </w:rPr>
        <w:br w:type="textWrapping"/>
      </w:r>
      <w:r>
        <w:rPr>
          <w:rFonts w:ascii="宋体" w:hAnsi="宋体" w:eastAsia="宋体" w:cs="宋体"/>
          <w:sz w:val="27"/>
          <w:szCs w:val="27"/>
        </w:rPr>
        <w:t>应验证其枯水位、洪水位和常水位的水质符合设计要求，核实地下水井抽水试验资料确定地下水井的常水位和设计抽升流量时的水位、最低水位、出水量和水位测量装置等技术参数和装备等是否符合设计要求，检测永久性地表水天然水源消防取水口防止水生生物繁殖的管理技术措施。有效容积和水位测量装置等应符合设计要求；消防水池（箱）玻璃水位计两端的角阀在不进行水位观察时是否处于关闭；</w:t>
      </w:r>
      <w:r>
        <w:rPr>
          <w:rFonts w:ascii="宋体" w:hAnsi="宋体" w:eastAsia="宋体" w:cs="宋体"/>
          <w:sz w:val="27"/>
          <w:szCs w:val="27"/>
        </w:rPr>
        <w:br w:type="textWrapping"/>
      </w:r>
      <w:r>
        <w:rPr>
          <w:rFonts w:ascii="宋体" w:hAnsi="宋体" w:eastAsia="宋体" w:cs="宋体"/>
          <w:sz w:val="27"/>
          <w:szCs w:val="27"/>
        </w:rPr>
        <w:t>冬季消防储水设施的室内温度和水温检测，检测是否采取确保不结冰和室温不低于低于5℃的措施，检查消防水池、消防水箱等蓄水设施的结构材料是否完好，在市政供水阀门处于完全开启状态时，对倒流防止器的压差进行检测，并应符合国家现行标准《减压型倒流防止器》GB/T 25178、《低阻力倒流防止器》JB/T 11151和《双止回阀倒流防止器》CJ/T 160等的有关规定，整个供电系统是否符合设计，是否正常供电，消防水泵是否采用自灌式引水方式，消防给水系统管网内是否已经充满水，检测整个系统是否处于准工作状态，消防水泵、稳压泵和稳压设施等是否处于准工作状态；</w:t>
      </w:r>
      <w:r>
        <w:rPr>
          <w:rFonts w:ascii="宋体" w:hAnsi="宋体" w:eastAsia="宋体" w:cs="宋体"/>
          <w:sz w:val="27"/>
          <w:szCs w:val="27"/>
        </w:rPr>
        <w:br w:type="textWrapping"/>
      </w:r>
      <w:r>
        <w:rPr>
          <w:rFonts w:ascii="宋体" w:hAnsi="宋体" w:eastAsia="宋体" w:cs="宋体"/>
          <w:sz w:val="27"/>
          <w:szCs w:val="27"/>
        </w:rPr>
        <w:t>排水设施是否正常，是否符合设计要求；对消防水泵接合器的接口及附件进行检查，并应保证接口完好、无渗漏、闷盖齐全，消防水泵接合器数量及进水管位置供水能力应符合设计要求，消防水泵接合器应采用消防车车载消防水泵进行充水试验，且供水最不利点的压力、流量应符合设计要求；</w:t>
      </w:r>
      <w:r>
        <w:rPr>
          <w:rFonts w:ascii="宋体" w:hAnsi="宋体" w:eastAsia="宋体" w:cs="宋体"/>
          <w:sz w:val="27"/>
          <w:szCs w:val="27"/>
        </w:rPr>
        <w:br w:type="textWrapping"/>
      </w:r>
      <w:r>
        <w:rPr>
          <w:rFonts w:ascii="宋体" w:hAnsi="宋体" w:eastAsia="宋体" w:cs="宋体"/>
          <w:sz w:val="27"/>
          <w:szCs w:val="27"/>
        </w:rPr>
        <w:t>验证高中低分区供水确定消防车的最大供水高度和接力泵的设置位置的合理性，检查消火栓、消防水泵接合器、消防水泵房、消防水泵、减压阀、报警阀和阀门等是否有明确的标识，对系统过滤器进行排渣，检查过滤器是否处于完好状态，检查室内消火栓给水系统管网是否成环形，消防泵房是否有不少于2条出水管直接和环网的不同管段相连，当其中一条损坏时，其余的出水管是否能通过全部水量。</w:t>
      </w:r>
      <w:r>
        <w:rPr>
          <w:rFonts w:ascii="宋体" w:hAnsi="宋体" w:eastAsia="宋体" w:cs="宋体"/>
          <w:sz w:val="27"/>
          <w:szCs w:val="27"/>
        </w:rPr>
        <w:br w:type="textWrapping"/>
      </w:r>
      <w:r>
        <w:rPr>
          <w:rFonts w:ascii="宋体" w:hAnsi="宋体" w:eastAsia="宋体" w:cs="宋体"/>
          <w:sz w:val="27"/>
          <w:szCs w:val="27"/>
        </w:rPr>
        <w:t>水泵出水管上是否设有止回阀，检修阀，实验检测用的压力表和DN65的放水阀门，水泵进水管是否设置检修阀和真空压力表，对中低区减压阀组的流量和压力进行试验，减压阀的型号、规格、设计压力和设计流量应符合设计要求，减压阀的阀前阀后动静压力应满足设计要求，减压阀阀前应有过滤器，过滤器的过滤面积和孔径应符合规范和设计要求，减压阀处应有试验用压力排水管道，减压阀的出流量应满足设计要求，当出流量为设计流量的150%时，阀后动压不应小于额定设计工作压力的65%，</w:t>
      </w:r>
      <w:r>
        <w:rPr>
          <w:rFonts w:ascii="宋体" w:hAnsi="宋体" w:eastAsia="宋体" w:cs="宋体"/>
          <w:sz w:val="27"/>
          <w:szCs w:val="27"/>
        </w:rPr>
        <w:br w:type="textWrapping"/>
      </w:r>
      <w:r>
        <w:rPr>
          <w:rFonts w:ascii="宋体" w:hAnsi="宋体" w:eastAsia="宋体" w:cs="宋体"/>
          <w:sz w:val="27"/>
          <w:szCs w:val="27"/>
        </w:rPr>
        <w:t>减压阀在小流量、设计流量和设计流量的150%时不应出现噪声明显增加或管道出现喘振，测试减压阀的阀后动静压差应符合设计要求，减压阀的水头损失应小于设计阀后静压和动压差，检查系统上所有的控制阀门是否采用铅封或锁链固定在开启或规定的状态；检查室外阀门井中进水管上的控制阀门，并核实其处于全开启状态；对水源控制阀等所有阀组进行外观检查，并应保证系统处于无故障状态；减压阀和阀门等处于正常工作位置，工作泵、备用泵、吸水管、出水管及出水管上的泄压阀、水锤消除设施、止回阀、信号阀等的规格、型号、数量，应符合设计要求；</w:t>
      </w:r>
      <w:r>
        <w:rPr>
          <w:rFonts w:ascii="宋体" w:hAnsi="宋体" w:eastAsia="宋体" w:cs="宋体"/>
          <w:sz w:val="27"/>
          <w:szCs w:val="27"/>
        </w:rPr>
        <w:br w:type="textWrapping"/>
      </w:r>
      <w:r>
        <w:rPr>
          <w:rFonts w:ascii="宋体" w:hAnsi="宋体" w:eastAsia="宋体" w:cs="宋体"/>
          <w:sz w:val="27"/>
          <w:szCs w:val="27"/>
        </w:rPr>
        <w:t>吸水管、出水管上的控制阀应锁定在常开位置，并应有明显标记；管道的材质、管径、接头、连接方式及采取的防腐、防冻措施，应符合设计要求，管道标识应符合设计要求；管网排水坡度及辅助排水设施，应符合设计要求；系统中的试验消火栓、自动排气阀应符合设计要求；管网不同部位安装的报警阀组、闸阀、止回阀、电磁阀、信号阀、水流指示器、减压孔板、节流管、减压阀、柔性接头、排水管、排气阀、泄压阀等，均应符合设计要求；</w:t>
      </w:r>
      <w:r>
        <w:rPr>
          <w:rFonts w:ascii="宋体" w:hAnsi="宋体" w:eastAsia="宋体" w:cs="宋体"/>
          <w:sz w:val="27"/>
          <w:szCs w:val="27"/>
        </w:rPr>
        <w:br w:type="textWrapping"/>
      </w:r>
      <w:r>
        <w:rPr>
          <w:rFonts w:ascii="宋体" w:hAnsi="宋体" w:eastAsia="宋体" w:cs="宋体"/>
          <w:sz w:val="27"/>
          <w:szCs w:val="27"/>
        </w:rPr>
        <w:br w:type="textWrapping"/>
      </w:r>
      <w:r>
        <w:rPr>
          <w:rFonts w:ascii="宋体" w:hAnsi="宋体" w:eastAsia="宋体" w:cs="宋体"/>
          <w:sz w:val="27"/>
          <w:szCs w:val="27"/>
        </w:rPr>
        <w:t>③室内消火栓箱应有明显标志。消火栓箱组件应齐全，箱门应开关灵活，开度应符合要求。消火栓的阀门应启闭灵活，栓口位置应便于连接水带。室外消火栓阀门应启闭灵活。地下式消火栓应有明显标志，井内应无积水。寒冷地区防冻措施应完好。检查消火栓的设置场所、位置、规格、型号、安装高度应符合设计要求，对消火栓进行外观和漏水检查，发现有不正常的消火栓应及时更换。</w:t>
      </w:r>
      <w:r>
        <w:rPr>
          <w:rFonts w:ascii="宋体" w:hAnsi="宋体" w:eastAsia="宋体" w:cs="宋体"/>
          <w:sz w:val="27"/>
          <w:szCs w:val="27"/>
        </w:rPr>
        <w:br w:type="textWrapping"/>
      </w:r>
      <w:r>
        <w:rPr>
          <w:rFonts w:ascii="宋体" w:hAnsi="宋体" w:eastAsia="宋体" w:cs="宋体"/>
          <w:sz w:val="27"/>
          <w:szCs w:val="27"/>
        </w:rPr>
        <w:t>检查室内消火栓坚管直径是否小于DN100，室内消火栓的选型、规格是否符合设计要求，是否采用统一规格的栓口、水枪和水带及配件，室内消火栓直径是否为DN65，屋顶是否设置试验用消火栓，栓口处是否设置压力表，室内消火栓处是否设置直接仅向主机报警的按钮，相连接的控制线穿管保护及连接是否到位，试验消火栓动作时，应检测消防水泵是否在本规范规定的时间内自动启动，试验消火栓动作时测试其出流量、压力和充实水柱的长度；</w:t>
      </w:r>
      <w:r>
        <w:rPr>
          <w:rFonts w:ascii="宋体" w:hAnsi="宋体" w:eastAsia="宋体" w:cs="宋体"/>
          <w:sz w:val="27"/>
          <w:szCs w:val="27"/>
        </w:rPr>
        <w:br w:type="textWrapping"/>
      </w:r>
      <w:r>
        <w:rPr>
          <w:rFonts w:ascii="宋体" w:hAnsi="宋体" w:eastAsia="宋体" w:cs="宋体"/>
          <w:sz w:val="27"/>
          <w:szCs w:val="27"/>
        </w:rPr>
        <w:t>根据消防水泵的性能曲线核实消防水泵供水能力，检查旋转型消火栓的性能能否满足其性能要求，采用专用检测工具，测试减压稳压型消火栓的阀后动静压是否满足设计要求。减压装置和活动部件是否灵活可靠，栓后压力是否符合设计要求。</w:t>
      </w:r>
      <w:r>
        <w:rPr>
          <w:rFonts w:ascii="宋体" w:hAnsi="宋体" w:eastAsia="宋体" w:cs="宋体"/>
          <w:sz w:val="27"/>
          <w:szCs w:val="27"/>
        </w:rPr>
        <w:br w:type="textWrapping"/>
      </w:r>
      <w:r>
        <w:rPr>
          <w:rFonts w:ascii="宋体" w:hAnsi="宋体" w:eastAsia="宋体" w:cs="宋体"/>
          <w:sz w:val="27"/>
          <w:szCs w:val="27"/>
        </w:rPr>
        <w:br w:type="textWrapping"/>
      </w:r>
      <w:r>
        <w:rPr>
          <w:rFonts w:ascii="宋体" w:hAnsi="宋体" w:eastAsia="宋体" w:cs="宋体"/>
          <w:sz w:val="27"/>
          <w:szCs w:val="27"/>
        </w:rPr>
        <w:t>④检测消火栓系统自动控制处于准工作状态，采用固定和移动式流量计和压力表测试消防水泵的性能，水泵性能应满足设计要求，打开消防水泵出水管上试水阀，当采用主电源启动消防水泵时，消防水泵应启动正常，关掉主电源，主、备电源应能正常切换，备用泵启动和相互切换正常，消防水泵就地和远程启停功能应正常，手动及模拟自动控制的条件启动消防水泵运转，检测其各项性能是否符合相关要求，观察低压压力开关与流量开关的自动控制功能是否正常，所有设备动作是否有反馈信号显示，同时检查供电电源的情况是否符合要求；</w:t>
      </w:r>
      <w:r>
        <w:rPr>
          <w:rFonts w:ascii="宋体" w:hAnsi="宋体" w:eastAsia="宋体" w:cs="宋体"/>
          <w:sz w:val="27"/>
          <w:szCs w:val="27"/>
        </w:rPr>
        <w:br w:type="textWrapping"/>
      </w:r>
      <w:r>
        <w:rPr>
          <w:rFonts w:ascii="宋体" w:hAnsi="宋体" w:eastAsia="宋体" w:cs="宋体"/>
          <w:sz w:val="27"/>
          <w:szCs w:val="27"/>
        </w:rPr>
        <w:t>对消防水泵的出流量和压力进行检测；若设置柴油机消防水泵，检测柴油机消防水泵的启动电池的电量，柴油机泵油箱是否充满油并能正常工作，手动启动柴油机消防水泵，检测其是否能正常运行；以自动直接启动或手动直接启动消防水泵时，消防水泵是否在55s内投入正常运行，且无不良噪声和振动，以备用电源切换方式或备用泵切换启动消防水泵时，消防水泵应分别在1min或2min内投入正常运行；水泵现场性能测试与生产厂商提供的数据是否相符并满足消防给水设计流量和压力的要求，消防水泵零流量时的压力是否超过设计工作压力的140%；</w:t>
      </w:r>
      <w:r>
        <w:rPr>
          <w:rFonts w:ascii="宋体" w:hAnsi="宋体" w:eastAsia="宋体" w:cs="宋体"/>
          <w:sz w:val="27"/>
          <w:szCs w:val="27"/>
        </w:rPr>
        <w:br w:type="textWrapping"/>
      </w:r>
      <w:r>
        <w:rPr>
          <w:rFonts w:ascii="宋体" w:hAnsi="宋体" w:eastAsia="宋体" w:cs="宋体"/>
          <w:sz w:val="27"/>
          <w:szCs w:val="27"/>
        </w:rPr>
        <w:t>当出流量为设计工作流量的150%时，其出口压力是否低于设计工作压力的65%。检测控制柜的控制功能，核对控制逻辑是否符合设计要求；对水泵负载电流的状况进行试验检测和验证；检查显示功能，并对电压、电流、故障、声光报警等功能进行检测和验证；</w:t>
      </w:r>
      <w:r>
        <w:rPr>
          <w:rFonts w:ascii="宋体" w:hAnsi="宋体" w:eastAsia="宋体" w:cs="宋体"/>
          <w:sz w:val="27"/>
          <w:szCs w:val="27"/>
        </w:rPr>
        <w:br w:type="textWrapping"/>
      </w:r>
      <w:r>
        <w:rPr>
          <w:rFonts w:ascii="宋体" w:hAnsi="宋体" w:eastAsia="宋体" w:cs="宋体"/>
          <w:sz w:val="27"/>
          <w:szCs w:val="27"/>
        </w:rPr>
        <w:t>检测自动巡检功能，对消防泵的巡检动作、时间、周期、频率和转速等进行试验检测和验证，检测消防水泵的各种强制启泵功能，消防给水系统的试验管放水时，管网压力应持续降低，消防水泵出水干管上压力开关应能自动启动消防水泵，消防给水系统的试验管放水或高位消防水箱排水管放水时，高位消防水箱出水管上的流量开关应动作，且应能自动启动消防水泵；</w:t>
      </w:r>
      <w:r>
        <w:rPr>
          <w:rFonts w:ascii="宋体" w:hAnsi="宋体" w:eastAsia="宋体" w:cs="宋体"/>
          <w:sz w:val="27"/>
          <w:szCs w:val="27"/>
        </w:rPr>
        <w:br w:type="textWrapping"/>
      </w:r>
      <w:r>
        <w:rPr>
          <w:rFonts w:ascii="宋体" w:hAnsi="宋体" w:eastAsia="宋体" w:cs="宋体"/>
          <w:sz w:val="27"/>
          <w:szCs w:val="27"/>
        </w:rPr>
        <w:br w:type="textWrapping"/>
      </w:r>
      <w:r>
        <w:rPr>
          <w:rFonts w:ascii="宋体" w:hAnsi="宋体" w:eastAsia="宋体" w:cs="宋体"/>
          <w:sz w:val="27"/>
          <w:szCs w:val="27"/>
        </w:rPr>
        <w:t>⑤检测稳压泵供电应正常，自动手动启停应正常；关掉主电源，主、备电源应能正常切换；</w:t>
      </w:r>
      <w:r>
        <w:rPr>
          <w:rFonts w:ascii="宋体" w:hAnsi="宋体" w:eastAsia="宋体" w:cs="宋体"/>
          <w:sz w:val="27"/>
          <w:szCs w:val="27"/>
        </w:rPr>
        <w:br w:type="textWrapping"/>
      </w:r>
      <w:r>
        <w:rPr>
          <w:rFonts w:ascii="宋体" w:hAnsi="宋体" w:eastAsia="宋体" w:cs="宋体"/>
          <w:sz w:val="27"/>
          <w:szCs w:val="27"/>
        </w:rPr>
        <w:t>手动及进行放水试验模拟自动控制的条件启动消防稳压泵运转，对稳压泵的停泵启泵压力和小时启泵次数等进行检测，对气压水罐的压力和有效容积等进行检测，气压水罐的有效容积以及调节容积应符合设计要求，并应满足稳压泵的启停要求，气压水罐气侧压力应符合设计要求，稳压泵当达到设计启动压力时，稳压泵应立即启动；</w:t>
      </w:r>
      <w:r>
        <w:rPr>
          <w:rFonts w:ascii="宋体" w:hAnsi="宋体" w:eastAsia="宋体" w:cs="宋体"/>
          <w:sz w:val="27"/>
          <w:szCs w:val="27"/>
        </w:rPr>
        <w:br w:type="textWrapping"/>
      </w:r>
      <w:r>
        <w:rPr>
          <w:rFonts w:ascii="宋体" w:hAnsi="宋体" w:eastAsia="宋体" w:cs="宋体"/>
          <w:sz w:val="27"/>
          <w:szCs w:val="27"/>
        </w:rPr>
        <w:t>当达到系统停泵压力时，稳压泵应自动停止运行；</w:t>
      </w:r>
      <w:r>
        <w:rPr>
          <w:rFonts w:ascii="宋体" w:hAnsi="宋体" w:eastAsia="宋体" w:cs="宋体"/>
          <w:sz w:val="27"/>
          <w:szCs w:val="27"/>
        </w:rPr>
        <w:br w:type="textWrapping"/>
      </w:r>
      <w:r>
        <w:rPr>
          <w:rFonts w:ascii="宋体" w:hAnsi="宋体" w:eastAsia="宋体" w:cs="宋体"/>
          <w:sz w:val="27"/>
          <w:szCs w:val="27"/>
        </w:rPr>
        <w:t>稳压泵启停应达到设计压力要求，能满足系统自动启动要求，且当消防主泵启动时，稳压泵应停止运行，稳压泵在正常工作时每小时的启停次数应符合设计要求，且不应大于15次/h；</w:t>
      </w:r>
      <w:r>
        <w:rPr>
          <w:rFonts w:ascii="宋体" w:hAnsi="宋体" w:eastAsia="宋体" w:cs="宋体"/>
          <w:sz w:val="27"/>
          <w:szCs w:val="27"/>
        </w:rPr>
        <w:br w:type="textWrapping"/>
      </w:r>
      <w:r>
        <w:rPr>
          <w:rFonts w:ascii="宋体" w:hAnsi="宋体" w:eastAsia="宋体" w:cs="宋体"/>
          <w:sz w:val="27"/>
          <w:szCs w:val="27"/>
        </w:rPr>
        <w:t>稳压泵启停时系统压力应平稳，且稳压泵不应频繁启停。</w:t>
      </w:r>
      <w:r>
        <w:rPr>
          <w:rFonts w:ascii="宋体" w:hAnsi="宋体" w:eastAsia="宋体" w:cs="宋体"/>
          <w:sz w:val="27"/>
          <w:szCs w:val="27"/>
        </w:rPr>
        <w:br w:type="textWrapping"/>
      </w:r>
      <w:r>
        <w:rPr>
          <w:rFonts w:ascii="宋体" w:hAnsi="宋体" w:eastAsia="宋体" w:cs="宋体"/>
          <w:sz w:val="27"/>
          <w:szCs w:val="27"/>
        </w:rPr>
        <w:br w:type="textWrapping"/>
      </w:r>
      <w:r>
        <w:rPr>
          <w:rFonts w:ascii="宋体" w:hAnsi="宋体" w:eastAsia="宋体" w:cs="宋体"/>
          <w:sz w:val="27"/>
          <w:szCs w:val="27"/>
        </w:rPr>
        <w:t xml:space="preserve">⑥检测过程中，系统排出的水应通过排水设施全部排走，消防电梯排水设施的自动控制和排水能力观察是否符合设计要求；报警阀排水试验管处和末端试水装置处排水设施的排水能力进行测试观察是否符合设计要求，且在地面不应有积水；试验消火栓处的排水能力应满足试验要求，观察是否符合设计要求，对消防水泵房排水设施的排水能力进行测试，观察是否符合设计要求。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006600"/>
          <w:sz w:val="27"/>
          <w:szCs w:val="27"/>
        </w:rPr>
        <w:t>答案解析</w:t>
      </w:r>
      <w:r>
        <w:rPr>
          <w:rFonts w:ascii="宋体" w:hAnsi="宋体" w:eastAsia="宋体" w:cs="宋体"/>
          <w:sz w:val="27"/>
          <w:szCs w:val="27"/>
        </w:rPr>
        <w:t xml:space="preserve">】 （2015年真题）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b/>
          <w:sz w:val="27"/>
          <w:szCs w:val="27"/>
        </w:rPr>
        <w:t>本题知识点：</w:t>
      </w:r>
      <w:r>
        <w:rPr>
          <w:rFonts w:ascii="宋体" w:hAnsi="宋体" w:eastAsia="宋体" w:cs="宋体"/>
          <w:sz w:val="27"/>
          <w:szCs w:val="27"/>
        </w:rPr>
        <w:t>室外消火栓的维护与管理</w:t>
      </w:r>
    </w:p>
    <w:p>
      <w:pPr>
        <w:keepNext w:val="0"/>
        <w:keepLines w:val="0"/>
        <w:widowControl/>
        <w:suppressLineNumbers w:val="0"/>
        <w:spacing w:before="0" w:beforeAutospacing="0" w:after="240" w:afterAutospacing="0"/>
        <w:ind w:left="0" w:right="0"/>
        <w:jc w:val="left"/>
      </w:pPr>
    </w:p>
    <w:p>
      <w:pPr>
        <w:keepNext w:val="0"/>
        <w:keepLines w:val="0"/>
        <w:widowControl/>
        <w:suppressLineNumbers w:val="0"/>
        <w:pBdr>
          <w:top w:val="none" w:color="auto" w:sz="0" w:space="0"/>
        </w:pBdr>
        <w:spacing w:before="0" w:beforeAutospacing="0" w:after="15" w:afterAutospacing="0"/>
        <w:ind w:left="0" w:right="0"/>
        <w:jc w:val="left"/>
        <w:rPr>
          <w:sz w:val="27"/>
          <w:szCs w:val="27"/>
        </w:rPr>
      </w:pPr>
      <w:r>
        <w:rPr>
          <w:rFonts w:ascii="宋体" w:hAnsi="宋体" w:eastAsia="宋体" w:cs="宋体"/>
          <w:sz w:val="27"/>
          <w:szCs w:val="27"/>
        </w:rPr>
        <w:t xml:space="preserve">4） 简述地下湿式报警阀组前安装的减压阀组存在的问题及解决方法。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FF0000"/>
          <w:sz w:val="27"/>
          <w:szCs w:val="27"/>
        </w:rPr>
        <w:t>正确答案</w:t>
      </w:r>
      <w:r>
        <w:rPr>
          <w:rFonts w:ascii="宋体" w:hAnsi="宋体" w:eastAsia="宋体" w:cs="宋体"/>
          <w:sz w:val="27"/>
          <w:szCs w:val="27"/>
        </w:rPr>
        <w:t>】 为控制因建筑高差较大造成的超压，通常采用分区供水或者在系统相应管段上安装减压阀，以控制管道静压；</w:t>
      </w:r>
      <w:r>
        <w:rPr>
          <w:rFonts w:ascii="宋体" w:hAnsi="宋体" w:eastAsia="宋体" w:cs="宋体"/>
          <w:sz w:val="27"/>
          <w:szCs w:val="27"/>
        </w:rPr>
        <w:br w:type="textWrapping"/>
      </w:r>
      <w:r>
        <w:rPr>
          <w:rFonts w:ascii="宋体" w:hAnsi="宋体" w:eastAsia="宋体" w:cs="宋体"/>
          <w:sz w:val="27"/>
          <w:szCs w:val="27"/>
        </w:rPr>
        <w:t xml:space="preserve">依据《自动喷水灭火系统设计规范》GB50084-2001（2005修订版）4.2.9-2 控制管道静压的区段宜分区供水或设减压阀，控制管道动压的区段宜设减压孔板或节流管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006600"/>
          <w:sz w:val="27"/>
          <w:szCs w:val="27"/>
        </w:rPr>
        <w:t>答案解析</w:t>
      </w:r>
      <w:r>
        <w:rPr>
          <w:rFonts w:ascii="宋体" w:hAnsi="宋体" w:eastAsia="宋体" w:cs="宋体"/>
          <w:sz w:val="27"/>
          <w:szCs w:val="27"/>
        </w:rPr>
        <w:t xml:space="preserve">】 （2015年真题）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b/>
          <w:sz w:val="27"/>
          <w:szCs w:val="27"/>
        </w:rPr>
        <w:t>本题知识点：</w:t>
      </w:r>
      <w:r>
        <w:rPr>
          <w:rFonts w:ascii="宋体" w:hAnsi="宋体" w:eastAsia="宋体" w:cs="宋体"/>
          <w:sz w:val="27"/>
          <w:szCs w:val="27"/>
        </w:rPr>
        <w:t>自动喷水灭火系统喷头的设置要求</w:t>
      </w:r>
    </w:p>
    <w:p>
      <w:pPr>
        <w:keepNext w:val="0"/>
        <w:keepLines w:val="0"/>
        <w:widowControl/>
        <w:suppressLineNumbers w:val="0"/>
        <w:spacing w:before="0" w:beforeAutospacing="0" w:after="240" w:afterAutospacing="0"/>
        <w:ind w:left="0" w:right="0"/>
        <w:jc w:val="left"/>
      </w:pPr>
    </w:p>
    <w:p>
      <w:pPr>
        <w:keepNext w:val="0"/>
        <w:keepLines w:val="0"/>
        <w:widowControl/>
        <w:suppressLineNumbers w:val="0"/>
        <w:pBdr>
          <w:top w:val="none" w:color="auto" w:sz="0" w:space="0"/>
        </w:pBdr>
        <w:spacing w:before="0" w:beforeAutospacing="0" w:after="15" w:afterAutospacing="0"/>
        <w:ind w:left="0" w:right="0"/>
        <w:jc w:val="left"/>
        <w:rPr>
          <w:sz w:val="27"/>
          <w:szCs w:val="27"/>
        </w:rPr>
      </w:pPr>
      <w:r>
        <w:rPr>
          <w:rFonts w:ascii="宋体" w:hAnsi="宋体" w:eastAsia="宋体" w:cs="宋体"/>
          <w:sz w:val="27"/>
          <w:szCs w:val="27"/>
        </w:rPr>
        <w:t xml:space="preserve">5） 指出40层末端试水装置放水时，报警阀组的水力警铃、压力开关未动作的原因。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FF0000"/>
          <w:sz w:val="27"/>
          <w:szCs w:val="27"/>
        </w:rPr>
        <w:t>正确答案</w:t>
      </w:r>
      <w:r>
        <w:rPr>
          <w:rFonts w:ascii="宋体" w:hAnsi="宋体" w:eastAsia="宋体" w:cs="宋体"/>
          <w:sz w:val="27"/>
          <w:szCs w:val="27"/>
        </w:rPr>
        <w:t>】 （1）湿式报警阀阀瓣未动作，原因：</w:t>
      </w:r>
      <w:r>
        <w:rPr>
          <w:rFonts w:ascii="宋体" w:hAnsi="宋体" w:eastAsia="宋体" w:cs="宋体"/>
          <w:sz w:val="27"/>
          <w:szCs w:val="27"/>
        </w:rPr>
        <w:br w:type="textWrapping"/>
      </w:r>
      <w:r>
        <w:rPr>
          <w:rFonts w:ascii="宋体" w:hAnsi="宋体" w:eastAsia="宋体" w:cs="宋体"/>
          <w:sz w:val="27"/>
          <w:szCs w:val="27"/>
        </w:rPr>
        <w:t>1）湿式报警阀进水压力小于出水压力，导致阀瓣不动作：</w:t>
      </w:r>
      <w:r>
        <w:rPr>
          <w:rFonts w:ascii="宋体" w:hAnsi="宋体" w:eastAsia="宋体" w:cs="宋体"/>
          <w:sz w:val="27"/>
          <w:szCs w:val="27"/>
        </w:rPr>
        <w:br w:type="textWrapping"/>
      </w:r>
      <w:r>
        <w:rPr>
          <w:rFonts w:ascii="宋体" w:hAnsi="宋体" w:eastAsia="宋体" w:cs="宋体"/>
          <w:sz w:val="27"/>
          <w:szCs w:val="27"/>
        </w:rPr>
        <w:t>A.高位水箱水位不够导致压力低</w:t>
      </w:r>
      <w:r>
        <w:rPr>
          <w:rFonts w:ascii="宋体" w:hAnsi="宋体" w:eastAsia="宋体" w:cs="宋体"/>
          <w:sz w:val="27"/>
          <w:szCs w:val="27"/>
        </w:rPr>
        <w:br w:type="textWrapping"/>
      </w:r>
      <w:r>
        <w:rPr>
          <w:rFonts w:ascii="宋体" w:hAnsi="宋体" w:eastAsia="宋体" w:cs="宋体"/>
          <w:sz w:val="27"/>
          <w:szCs w:val="27"/>
        </w:rPr>
        <w:t>B.高位水箱出口检修控制阀关闭</w:t>
      </w:r>
      <w:r>
        <w:rPr>
          <w:rFonts w:ascii="宋体" w:hAnsi="宋体" w:eastAsia="宋体" w:cs="宋体"/>
          <w:sz w:val="27"/>
          <w:szCs w:val="27"/>
        </w:rPr>
        <w:br w:type="textWrapping"/>
      </w:r>
      <w:r>
        <w:rPr>
          <w:rFonts w:ascii="宋体" w:hAnsi="宋体" w:eastAsia="宋体" w:cs="宋体"/>
          <w:sz w:val="27"/>
          <w:szCs w:val="27"/>
        </w:rPr>
        <w:t>C.高位水箱出口单向阀锈蚀关闭无法打开</w:t>
      </w:r>
      <w:r>
        <w:rPr>
          <w:rFonts w:ascii="宋体" w:hAnsi="宋体" w:eastAsia="宋体" w:cs="宋体"/>
          <w:sz w:val="27"/>
          <w:szCs w:val="27"/>
        </w:rPr>
        <w:br w:type="textWrapping"/>
      </w:r>
      <w:r>
        <w:rPr>
          <w:rFonts w:ascii="宋体" w:hAnsi="宋体" w:eastAsia="宋体" w:cs="宋体"/>
          <w:sz w:val="27"/>
          <w:szCs w:val="27"/>
        </w:rPr>
        <w:t>D.稳压系统无电</w:t>
      </w:r>
      <w:r>
        <w:rPr>
          <w:rFonts w:ascii="宋体" w:hAnsi="宋体" w:eastAsia="宋体" w:cs="宋体"/>
          <w:sz w:val="27"/>
          <w:szCs w:val="27"/>
        </w:rPr>
        <w:br w:type="textWrapping"/>
      </w:r>
      <w:r>
        <w:rPr>
          <w:rFonts w:ascii="宋体" w:hAnsi="宋体" w:eastAsia="宋体" w:cs="宋体"/>
          <w:sz w:val="27"/>
          <w:szCs w:val="27"/>
        </w:rPr>
        <w:t>E.稳压系统打手动</w:t>
      </w:r>
      <w:r>
        <w:rPr>
          <w:rFonts w:ascii="宋体" w:hAnsi="宋体" w:eastAsia="宋体" w:cs="宋体"/>
          <w:sz w:val="27"/>
          <w:szCs w:val="27"/>
        </w:rPr>
        <w:br w:type="textWrapping"/>
      </w:r>
      <w:r>
        <w:rPr>
          <w:rFonts w:ascii="宋体" w:hAnsi="宋体" w:eastAsia="宋体" w:cs="宋体"/>
          <w:sz w:val="27"/>
          <w:szCs w:val="27"/>
        </w:rPr>
        <w:t>F.稳压系统相关阀门关闭</w:t>
      </w:r>
      <w:r>
        <w:rPr>
          <w:rFonts w:ascii="宋体" w:hAnsi="宋体" w:eastAsia="宋体" w:cs="宋体"/>
          <w:sz w:val="27"/>
          <w:szCs w:val="27"/>
        </w:rPr>
        <w:br w:type="textWrapping"/>
      </w:r>
      <w:r>
        <w:rPr>
          <w:rFonts w:ascii="宋体" w:hAnsi="宋体" w:eastAsia="宋体" w:cs="宋体"/>
          <w:sz w:val="27"/>
          <w:szCs w:val="27"/>
        </w:rPr>
        <w:t>G.稳压系统单向阀锈蚀关闭无法打开</w:t>
      </w:r>
      <w:r>
        <w:rPr>
          <w:rFonts w:ascii="宋体" w:hAnsi="宋体" w:eastAsia="宋体" w:cs="宋体"/>
          <w:sz w:val="27"/>
          <w:szCs w:val="27"/>
        </w:rPr>
        <w:br w:type="textWrapping"/>
      </w:r>
      <w:r>
        <w:rPr>
          <w:rFonts w:ascii="宋体" w:hAnsi="宋体" w:eastAsia="宋体" w:cs="宋体"/>
          <w:sz w:val="27"/>
          <w:szCs w:val="27"/>
        </w:rPr>
        <w:t>H.稳压泵损坏</w:t>
      </w:r>
      <w:r>
        <w:rPr>
          <w:rFonts w:ascii="宋体" w:hAnsi="宋体" w:eastAsia="宋体" w:cs="宋体"/>
          <w:sz w:val="27"/>
          <w:szCs w:val="27"/>
        </w:rPr>
        <w:br w:type="textWrapping"/>
      </w:r>
      <w:r>
        <w:rPr>
          <w:rFonts w:ascii="宋体" w:hAnsi="宋体" w:eastAsia="宋体" w:cs="宋体"/>
          <w:sz w:val="27"/>
          <w:szCs w:val="27"/>
        </w:rPr>
        <w:t>I.高位水箱水位漏水</w:t>
      </w:r>
      <w:r>
        <w:rPr>
          <w:rFonts w:ascii="宋体" w:hAnsi="宋体" w:eastAsia="宋体" w:cs="宋体"/>
          <w:sz w:val="27"/>
          <w:szCs w:val="27"/>
        </w:rPr>
        <w:br w:type="textWrapping"/>
      </w:r>
      <w:r>
        <w:rPr>
          <w:rFonts w:ascii="宋体" w:hAnsi="宋体" w:eastAsia="宋体" w:cs="宋体"/>
          <w:sz w:val="27"/>
          <w:szCs w:val="27"/>
        </w:rPr>
        <w:t>J.稳压系统漏水</w:t>
      </w:r>
      <w:r>
        <w:rPr>
          <w:rFonts w:ascii="宋体" w:hAnsi="宋体" w:eastAsia="宋体" w:cs="宋体"/>
          <w:sz w:val="27"/>
          <w:szCs w:val="27"/>
        </w:rPr>
        <w:br w:type="textWrapping"/>
      </w:r>
      <w:r>
        <w:rPr>
          <w:rFonts w:ascii="宋体" w:hAnsi="宋体" w:eastAsia="宋体" w:cs="宋体"/>
          <w:sz w:val="27"/>
          <w:szCs w:val="27"/>
        </w:rPr>
        <w:t>K.相关管道发生堵塞</w:t>
      </w:r>
      <w:r>
        <w:rPr>
          <w:rFonts w:ascii="宋体" w:hAnsi="宋体" w:eastAsia="宋体" w:cs="宋体"/>
          <w:sz w:val="27"/>
          <w:szCs w:val="27"/>
        </w:rPr>
        <w:br w:type="textWrapping"/>
      </w:r>
      <w:r>
        <w:rPr>
          <w:rFonts w:ascii="宋体" w:hAnsi="宋体" w:eastAsia="宋体" w:cs="宋体"/>
          <w:sz w:val="27"/>
          <w:szCs w:val="27"/>
        </w:rPr>
        <w:t>L.气温过低相关保温措施不够管道冰冻住了不通</w:t>
      </w:r>
      <w:r>
        <w:rPr>
          <w:rFonts w:ascii="宋体" w:hAnsi="宋体" w:eastAsia="宋体" w:cs="宋体"/>
          <w:sz w:val="27"/>
          <w:szCs w:val="27"/>
        </w:rPr>
        <w:br w:type="textWrapping"/>
      </w:r>
      <w:r>
        <w:rPr>
          <w:rFonts w:ascii="宋体" w:hAnsi="宋体" w:eastAsia="宋体" w:cs="宋体"/>
          <w:sz w:val="27"/>
          <w:szCs w:val="27"/>
        </w:rPr>
        <w:t>M.水泵出口单向阀故障，水在单向阀阀门前端回流</w:t>
      </w:r>
      <w:r>
        <w:rPr>
          <w:rFonts w:ascii="宋体" w:hAnsi="宋体" w:eastAsia="宋体" w:cs="宋体"/>
          <w:sz w:val="27"/>
          <w:szCs w:val="27"/>
        </w:rPr>
        <w:br w:type="textWrapping"/>
      </w:r>
      <w:r>
        <w:rPr>
          <w:rFonts w:ascii="宋体" w:hAnsi="宋体" w:eastAsia="宋体" w:cs="宋体"/>
          <w:sz w:val="27"/>
          <w:szCs w:val="27"/>
        </w:rPr>
        <w:t>N.湿式报警阀前管路存在漏水现象。以上各类原因可能造成供给湿式报警阀进口压力低，使湿式报警阀阀瓣不能动作。</w:t>
      </w:r>
      <w:r>
        <w:rPr>
          <w:rFonts w:ascii="宋体" w:hAnsi="宋体" w:eastAsia="宋体" w:cs="宋体"/>
          <w:sz w:val="27"/>
          <w:szCs w:val="27"/>
        </w:rPr>
        <w:br w:type="textWrapping"/>
      </w:r>
      <w:r>
        <w:rPr>
          <w:rFonts w:ascii="宋体" w:hAnsi="宋体" w:eastAsia="宋体" w:cs="宋体"/>
          <w:sz w:val="27"/>
          <w:szCs w:val="27"/>
        </w:rPr>
        <w:t>2）湿式报警阀锈蚀使阀瓣不能动作。</w:t>
      </w:r>
      <w:r>
        <w:rPr>
          <w:rFonts w:ascii="宋体" w:hAnsi="宋体" w:eastAsia="宋体" w:cs="宋体"/>
          <w:sz w:val="27"/>
          <w:szCs w:val="27"/>
        </w:rPr>
        <w:br w:type="textWrapping"/>
      </w:r>
      <w:r>
        <w:rPr>
          <w:rFonts w:ascii="宋体" w:hAnsi="宋体" w:eastAsia="宋体" w:cs="宋体"/>
          <w:sz w:val="27"/>
          <w:szCs w:val="27"/>
        </w:rPr>
        <w:t>（2）湿式报警阀阀瓣已动作，往下分析其他原因：</w:t>
      </w:r>
      <w:r>
        <w:rPr>
          <w:rFonts w:ascii="宋体" w:hAnsi="宋体" w:eastAsia="宋体" w:cs="宋体"/>
          <w:sz w:val="27"/>
          <w:szCs w:val="27"/>
        </w:rPr>
        <w:br w:type="textWrapping"/>
      </w:r>
      <w:r>
        <w:rPr>
          <w:rFonts w:ascii="宋体" w:hAnsi="宋体" w:eastAsia="宋体" w:cs="宋体"/>
          <w:sz w:val="27"/>
          <w:szCs w:val="27"/>
        </w:rPr>
        <w:t>1）湿式报警阀阀座上通往水力警铃报警管路的出水水路发生堵塞，导致无法报警；</w:t>
      </w:r>
      <w:r>
        <w:rPr>
          <w:rFonts w:ascii="宋体" w:hAnsi="宋体" w:eastAsia="宋体" w:cs="宋体"/>
          <w:sz w:val="27"/>
          <w:szCs w:val="27"/>
        </w:rPr>
        <w:br w:type="textWrapping"/>
      </w:r>
      <w:r>
        <w:rPr>
          <w:rFonts w:ascii="宋体" w:hAnsi="宋体" w:eastAsia="宋体" w:cs="宋体"/>
          <w:sz w:val="27"/>
          <w:szCs w:val="27"/>
        </w:rPr>
        <w:t>2）水力警铃报警管路中检修球阀前漏水，导致压力不足以驱动水力警铃与压力开关，无法报警；</w:t>
      </w:r>
      <w:r>
        <w:rPr>
          <w:rFonts w:ascii="宋体" w:hAnsi="宋体" w:eastAsia="宋体" w:cs="宋体"/>
          <w:sz w:val="27"/>
          <w:szCs w:val="27"/>
        </w:rPr>
        <w:br w:type="textWrapping"/>
      </w:r>
      <w:r>
        <w:rPr>
          <w:rFonts w:ascii="宋体" w:hAnsi="宋体" w:eastAsia="宋体" w:cs="宋体"/>
          <w:sz w:val="27"/>
          <w:szCs w:val="27"/>
        </w:rPr>
        <w:t>3）水力警铃报警管路中检修球阀关闭，导致无法报警；</w:t>
      </w:r>
      <w:r>
        <w:rPr>
          <w:rFonts w:ascii="宋体" w:hAnsi="宋体" w:eastAsia="宋体" w:cs="宋体"/>
          <w:sz w:val="27"/>
          <w:szCs w:val="27"/>
        </w:rPr>
        <w:br w:type="textWrapping"/>
      </w:r>
      <w:r>
        <w:rPr>
          <w:rFonts w:ascii="宋体" w:hAnsi="宋体" w:eastAsia="宋体" w:cs="宋体"/>
          <w:sz w:val="27"/>
          <w:szCs w:val="27"/>
        </w:rPr>
        <w:t>4）过滤器长时间未检修，杂质堵塞管路导致无法报警；</w:t>
      </w:r>
      <w:r>
        <w:rPr>
          <w:rFonts w:ascii="宋体" w:hAnsi="宋体" w:eastAsia="宋体" w:cs="宋体"/>
          <w:sz w:val="27"/>
          <w:szCs w:val="27"/>
        </w:rPr>
        <w:br w:type="textWrapping"/>
      </w:r>
      <w:r>
        <w:rPr>
          <w:rFonts w:ascii="宋体" w:hAnsi="宋体" w:eastAsia="宋体" w:cs="宋体"/>
          <w:sz w:val="27"/>
          <w:szCs w:val="27"/>
        </w:rPr>
        <w:t>5）延迟器下端出水节流装置未安装水直接流走，导致水压低无法灌满延迟器无法报警；</w:t>
      </w:r>
      <w:r>
        <w:rPr>
          <w:rFonts w:ascii="宋体" w:hAnsi="宋体" w:eastAsia="宋体" w:cs="宋体"/>
          <w:sz w:val="27"/>
          <w:szCs w:val="27"/>
        </w:rPr>
        <w:br w:type="textWrapping"/>
      </w:r>
      <w:r>
        <w:rPr>
          <w:rFonts w:ascii="宋体" w:hAnsi="宋体" w:eastAsia="宋体" w:cs="宋体"/>
          <w:sz w:val="27"/>
          <w:szCs w:val="27"/>
        </w:rPr>
        <w:t>6）检修球阀至水力警铃压力开关段管路存在其他连接不好漏水现象；</w:t>
      </w:r>
      <w:r>
        <w:rPr>
          <w:rFonts w:ascii="宋体" w:hAnsi="宋体" w:eastAsia="宋体" w:cs="宋体"/>
          <w:sz w:val="27"/>
          <w:szCs w:val="27"/>
        </w:rPr>
        <w:br w:type="textWrapping"/>
      </w:r>
      <w:r>
        <w:rPr>
          <w:rFonts w:ascii="宋体" w:hAnsi="宋体" w:eastAsia="宋体" w:cs="宋体"/>
          <w:sz w:val="27"/>
          <w:szCs w:val="27"/>
        </w:rPr>
        <w:t>7）水力警铃控制口阻塞或铃锤机构被卡住；</w:t>
      </w:r>
      <w:r>
        <w:rPr>
          <w:rFonts w:ascii="宋体" w:hAnsi="宋体" w:eastAsia="宋体" w:cs="宋体"/>
          <w:sz w:val="27"/>
          <w:szCs w:val="27"/>
        </w:rPr>
        <w:br w:type="textWrapping"/>
      </w:r>
      <w:r>
        <w:rPr>
          <w:rFonts w:ascii="宋体" w:hAnsi="宋体" w:eastAsia="宋体" w:cs="宋体"/>
          <w:sz w:val="27"/>
          <w:szCs w:val="27"/>
        </w:rPr>
        <w:t>8）水力警铃产品质量问题；</w:t>
      </w:r>
      <w:r>
        <w:rPr>
          <w:rFonts w:ascii="宋体" w:hAnsi="宋体" w:eastAsia="宋体" w:cs="宋体"/>
          <w:sz w:val="27"/>
          <w:szCs w:val="27"/>
        </w:rPr>
        <w:br w:type="textWrapping"/>
      </w:r>
      <w:r>
        <w:rPr>
          <w:rFonts w:ascii="宋体" w:hAnsi="宋体" w:eastAsia="宋体" w:cs="宋体"/>
          <w:sz w:val="27"/>
          <w:szCs w:val="27"/>
        </w:rPr>
        <w:t>9）水力警铃安装不善存在漏水；</w:t>
      </w:r>
      <w:r>
        <w:rPr>
          <w:rFonts w:ascii="宋体" w:hAnsi="宋体" w:eastAsia="宋体" w:cs="宋体"/>
          <w:sz w:val="27"/>
          <w:szCs w:val="27"/>
        </w:rPr>
        <w:br w:type="textWrapping"/>
      </w:r>
      <w:r>
        <w:rPr>
          <w:rFonts w:ascii="宋体" w:hAnsi="宋体" w:eastAsia="宋体" w:cs="宋体"/>
          <w:sz w:val="27"/>
          <w:szCs w:val="27"/>
        </w:rPr>
        <w:t>10）压力开关可动部件坏，无法动作；</w:t>
      </w:r>
      <w:r>
        <w:rPr>
          <w:rFonts w:ascii="宋体" w:hAnsi="宋体" w:eastAsia="宋体" w:cs="宋体"/>
          <w:sz w:val="27"/>
          <w:szCs w:val="27"/>
        </w:rPr>
        <w:br w:type="textWrapping"/>
      </w:r>
      <w:r>
        <w:rPr>
          <w:rFonts w:ascii="宋体" w:hAnsi="宋体" w:eastAsia="宋体" w:cs="宋体"/>
          <w:sz w:val="27"/>
          <w:szCs w:val="27"/>
        </w:rPr>
        <w:t>11）压力开关干接点簧片坏；</w:t>
      </w:r>
      <w:r>
        <w:rPr>
          <w:rFonts w:ascii="宋体" w:hAnsi="宋体" w:eastAsia="宋体" w:cs="宋体"/>
          <w:sz w:val="27"/>
          <w:szCs w:val="27"/>
        </w:rPr>
        <w:br w:type="textWrapping"/>
      </w:r>
      <w:r>
        <w:rPr>
          <w:rFonts w:ascii="宋体" w:hAnsi="宋体" w:eastAsia="宋体" w:cs="宋体"/>
          <w:sz w:val="27"/>
          <w:szCs w:val="27"/>
        </w:rPr>
        <w:t>12）压力开关调节环调节位置不当无法动作；</w:t>
      </w:r>
      <w:r>
        <w:rPr>
          <w:rFonts w:ascii="宋体" w:hAnsi="宋体" w:eastAsia="宋体" w:cs="宋体"/>
          <w:sz w:val="27"/>
          <w:szCs w:val="27"/>
        </w:rPr>
        <w:br w:type="textWrapping"/>
      </w:r>
      <w:r>
        <w:rPr>
          <w:rFonts w:ascii="宋体" w:hAnsi="宋体" w:eastAsia="宋体" w:cs="宋体"/>
          <w:sz w:val="27"/>
          <w:szCs w:val="27"/>
        </w:rPr>
        <w:t>13）通往水力警铃的管路连接错误；</w:t>
      </w:r>
      <w:r>
        <w:rPr>
          <w:rFonts w:ascii="宋体" w:hAnsi="宋体" w:eastAsia="宋体" w:cs="宋体"/>
          <w:sz w:val="27"/>
          <w:szCs w:val="27"/>
        </w:rPr>
        <w:br w:type="textWrapping"/>
      </w:r>
      <w:r>
        <w:rPr>
          <w:rFonts w:ascii="宋体" w:hAnsi="宋体" w:eastAsia="宋体" w:cs="宋体"/>
          <w:sz w:val="27"/>
          <w:szCs w:val="27"/>
        </w:rPr>
        <w:t xml:space="preserve">14）参见案例一关于压力开关连接线路方面存在的问题。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006600"/>
          <w:sz w:val="27"/>
          <w:szCs w:val="27"/>
        </w:rPr>
        <w:t>答案解析</w:t>
      </w:r>
      <w:r>
        <w:rPr>
          <w:rFonts w:ascii="宋体" w:hAnsi="宋体" w:eastAsia="宋体" w:cs="宋体"/>
          <w:sz w:val="27"/>
          <w:szCs w:val="27"/>
        </w:rPr>
        <w:t xml:space="preserve">】 （2015年真题）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b/>
          <w:sz w:val="27"/>
          <w:szCs w:val="27"/>
        </w:rPr>
        <w:t>本题知识点：</w:t>
      </w:r>
      <w:r>
        <w:rPr>
          <w:rFonts w:ascii="宋体" w:hAnsi="宋体" w:eastAsia="宋体" w:cs="宋体"/>
          <w:sz w:val="27"/>
          <w:szCs w:val="27"/>
        </w:rPr>
        <w:t xml:space="preserve">自动喷水灭火系统故障分析及处理,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40" w:afterAutospacing="0"/>
        <w:ind w:right="0"/>
        <w:rPr>
          <w:rFonts w:hint="eastAsia"/>
          <w:sz w:val="21"/>
        </w:rPr>
      </w:pPr>
    </w:p>
    <w:sectPr>
      <w:headerReference r:id="rId5" w:type="first"/>
      <w:footerReference r:id="rId8" w:type="first"/>
      <w:headerReference r:id="rId3" w:type="default"/>
      <w:footerReference r:id="rId6" w:type="default"/>
      <w:headerReference r:id="rId4" w:type="even"/>
      <w:footerReference r:id="rId7" w:type="even"/>
      <w:pgSz w:w="11906" w:h="16838"/>
      <w:pgMar w:top="1440" w:right="1800" w:bottom="1440" w:left="1800" w:header="851" w:footer="992" w:gutter="0"/>
      <w:pgBorders>
        <w:top w:val="none" w:sz="0" w:space="0"/>
        <w:left w:val="none" w:sz="0" w:space="0"/>
        <w:bottom w:val="none" w:sz="0" w:space="0"/>
        <w:right w:val="none" w:sz="0" w:space="0"/>
      </w:pgBorders>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pict>
        <v:shape id="WordPictureWatermark6117238" o:spid="_x0000_s4098" o:spt="75" type="#_x0000_t75" style="position:absolute;left:0pt;height:518.6pt;width:414.9pt;mso-position-horizontal:center;mso-position-horizontal-relative:margin;mso-position-vertical:center;mso-position-vertical-relative:margin;z-index:-251656192;mso-width-relative:page;mso-height-relative:page;" filled="f" o:preferrelative="t" stroked="f" coordsize="21600,21600" o:allowincell="f">
          <v:path/>
          <v:fill on="f" focussize="0,0"/>
          <v:stroke on="f" joinstyle="miter"/>
          <v:imagedata r:id="rId1" o:title="水印 - 新logo"/>
          <o:lock v:ext="edit" aspectratio="t"/>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pict>
        <v:shape id="WordPictureWatermark6117237" o:spid="_x0000_s4099" o:spt="75" type="#_x0000_t75" style="position:absolute;left:0pt;height:518.6pt;width:414.9pt;mso-position-horizontal:center;mso-position-horizontal-relative:margin;mso-position-vertical:center;mso-position-vertical-relative:margin;z-index:-251657216;mso-width-relative:page;mso-height-relative:page;" filled="f" o:preferrelative="t" stroked="f" coordsize="21600,21600" o:allowincell="f">
          <v:path/>
          <v:fill on="f" focussize="0,0"/>
          <v:stroke on="f" joinstyle="miter"/>
          <v:imagedata r:id="rId1" o:title="水印 - 新logo"/>
          <o:lock v:ext="edit" aspectratio="t"/>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pict>
        <v:shape id="WordPictureWatermark6117236" o:spid="_x0000_s4097" o:spt="75" type="#_x0000_t75" style="position:absolute;left:0pt;height:518.6pt;width:414.9pt;mso-position-horizontal:center;mso-position-horizontal-relative:margin;mso-position-vertical:center;mso-position-vertical-relative:margin;z-index:-251658240;mso-width-relative:page;mso-height-relative:page;" filled="f" o:preferrelative="t" stroked="f" coordsize="21600,21600" o:allowincell="f">
          <v:path/>
          <v:fill on="f" focussize="0,0"/>
          <v:stroke on="f" joinstyle="miter"/>
          <v:imagedata r:id="rId1" o:title="水印 - 新logo"/>
          <o:lock v:ext="edit" aspectratio="t"/>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3,4"/>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185A47"/>
    <w:rsid w:val="00031D2D"/>
    <w:rsid w:val="00185A47"/>
    <w:rsid w:val="00511490"/>
    <w:rsid w:val="00651916"/>
    <w:rsid w:val="00BD5A04"/>
    <w:rsid w:val="00CC143E"/>
    <w:rsid w:val="06742B7C"/>
    <w:rsid w:val="082A444A"/>
    <w:rsid w:val="08C821B9"/>
    <w:rsid w:val="1A8744A6"/>
    <w:rsid w:val="1B060ECE"/>
    <w:rsid w:val="1D9202E0"/>
    <w:rsid w:val="24B63107"/>
    <w:rsid w:val="2C600A65"/>
    <w:rsid w:val="2DD34EAC"/>
    <w:rsid w:val="2F220458"/>
    <w:rsid w:val="45074FF9"/>
    <w:rsid w:val="49BA25DB"/>
    <w:rsid w:val="4BEB638F"/>
    <w:rsid w:val="4C22327B"/>
    <w:rsid w:val="59E27976"/>
    <w:rsid w:val="61235CA2"/>
    <w:rsid w:val="708270E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1"/>
      <w:lang w:val="en-US" w:eastAsia="zh-CN" w:bidi="ar-SA"/>
    </w:rPr>
  </w:style>
  <w:style w:type="character" w:default="1" w:styleId="7">
    <w:name w:val="Default Paragraph Font"/>
    <w:semiHidden/>
    <w:unhideWhenUsed/>
    <w:qFormat/>
    <w:uiPriority w:val="1"/>
  </w:style>
  <w:style w:type="table" w:default="1" w:styleId="5">
    <w:name w:val="Normal Table"/>
    <w:semiHidden/>
    <w:unhideWhenUsed/>
    <w:qFormat/>
    <w:uiPriority w:val="99"/>
    <w:tblPr>
      <w:tblLayout w:type="fixed"/>
      <w:tblCellMar>
        <w:top w:w="0" w:type="dxa"/>
        <w:left w:w="108" w:type="dxa"/>
        <w:bottom w:w="0" w:type="dxa"/>
        <w:right w:w="108" w:type="dxa"/>
      </w:tblCellMar>
    </w:tblPr>
  </w:style>
  <w:style w:type="paragraph" w:styleId="2">
    <w:name w:val="footer"/>
    <w:basedOn w:val="1"/>
    <w:link w:val="10"/>
    <w:semiHidden/>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3">
    <w:name w:val="header"/>
    <w:basedOn w:val="1"/>
    <w:link w:val="9"/>
    <w:semiHidden/>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paragraph" w:styleId="4">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table" w:styleId="6">
    <w:name w:val="Table Grid"/>
    <w:basedOn w:val="5"/>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styleId="8">
    <w:name w:val="Strong"/>
    <w:basedOn w:val="7"/>
    <w:qFormat/>
    <w:uiPriority w:val="22"/>
    <w:rPr>
      <w:b/>
    </w:rPr>
  </w:style>
  <w:style w:type="character" w:customStyle="1" w:styleId="9">
    <w:name w:val="页眉 Char"/>
    <w:basedOn w:val="7"/>
    <w:link w:val="3"/>
    <w:semiHidden/>
    <w:qFormat/>
    <w:uiPriority w:val="99"/>
    <w:rPr>
      <w:sz w:val="18"/>
      <w:szCs w:val="18"/>
    </w:rPr>
  </w:style>
  <w:style w:type="character" w:customStyle="1" w:styleId="10">
    <w:name w:val="页脚 Char"/>
    <w:basedOn w:val="7"/>
    <w:link w:val="2"/>
    <w:semiHidden/>
    <w:qFormat/>
    <w:uiPriority w:val="99"/>
    <w:rPr>
      <w:sz w:val="18"/>
      <w:szCs w:val="18"/>
    </w:rPr>
  </w:style>
  <w:style w:type="character" w:customStyle="1" w:styleId="11">
    <w:name w:val="wxkwords"/>
    <w:basedOn w:val="7"/>
    <w:qFormat/>
    <w:uiPriority w:val="0"/>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1.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4098"/>
    <customShpInfo spid="_x0000_s4099"/>
    <customShpInfo spid="_x0000_s409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623</Words>
  <Characters>3555</Characters>
  <Lines>29</Lines>
  <Paragraphs>8</Paragraphs>
  <TotalTime>2</TotalTime>
  <ScaleCrop>false</ScaleCrop>
  <LinksUpToDate>false</LinksUpToDate>
  <CharactersWithSpaces>4170</CharactersWithSpaces>
  <Application>WPS Office_11.1.0.8415_F1E327BC-269C-435d-A152-05C5408002CA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2018-10-26T02:04:00Z</dcterms:created>
  <dc:creator>dell</dc:creator>
  <cp:lastModifiedBy>dell</cp:lastModifiedBy>
  <dcterms:modified xsi:type="dcterms:W3CDTF">2019-09-16T09:22:19Z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2052-11.1.0.8415</vt:lpwstr>
  </property>
</Properties>
</file>