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left"/>
        <w:outlineLvl w:val="0"/>
        <w:rPr>
          <w:rFonts w:ascii="Tahoma" w:hAnsi="Tahoma" w:eastAsia="宋体" w:cs="Tahoma"/>
          <w:b/>
          <w:bCs/>
          <w:kern w:val="36"/>
          <w:sz w:val="48"/>
          <w:szCs w:val="48"/>
        </w:rPr>
      </w:pPr>
      <w:r>
        <w:rPr>
          <w:rFonts w:ascii="Tahoma" w:hAnsi="Tahoma" w:eastAsia="宋体" w:cs="Tahoma"/>
          <w:b/>
          <w:bCs/>
          <w:kern w:val="36"/>
          <w:sz w:val="48"/>
          <w:szCs w:val="48"/>
        </w:rPr>
        <w:t>　1Z101000　工程经济</w:t>
      </w:r>
    </w:p>
    <w:p>
      <w:pPr>
        <w:widowControl/>
        <w:spacing w:before="100" w:beforeAutospacing="1" w:after="100" w:afterAutospacing="1"/>
        <w:jc w:val="left"/>
        <w:outlineLvl w:val="1"/>
        <w:rPr>
          <w:rFonts w:ascii="Tahoma" w:hAnsi="Tahoma" w:eastAsia="宋体" w:cs="Tahoma"/>
          <w:b/>
          <w:bCs/>
          <w:kern w:val="0"/>
          <w:sz w:val="36"/>
          <w:szCs w:val="36"/>
        </w:rPr>
      </w:pPr>
      <w:r>
        <w:rPr>
          <w:rFonts w:ascii="Tahoma" w:hAnsi="Tahoma" w:eastAsia="宋体" w:cs="Tahoma"/>
          <w:b/>
          <w:bCs/>
          <w:kern w:val="0"/>
          <w:sz w:val="36"/>
          <w:szCs w:val="36"/>
        </w:rPr>
        <w:t>　　知识点1:资金时间价值的概念</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【考频指数】</w:t>
      </w:r>
      <w:r>
        <w:rPr>
          <w:rFonts w:hint="eastAsia" w:ascii="宋体" w:hAnsi="宋体" w:eastAsia="宋体" w:cs="宋体"/>
          <w:kern w:val="0"/>
          <w:sz w:val="22"/>
        </w:rPr>
        <w:t>★★★</w:t>
      </w:r>
      <w:r>
        <w:rPr>
          <w:rFonts w:ascii="宋体" w:hAnsi="宋体" w:eastAsia="宋体" w:cs="宋体"/>
          <w:kern w:val="0"/>
          <w:sz w:val="22"/>
        </w:rPr>
        <w:t>★</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【考点精讲】</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一、资金的价值是随时间变化而变化的，是时间的函数，随时间的推移而增值，其增值的这部分资金就是原有资金的时间价值。其实质是资金作为生产经营要素，在扩大再生产及其资金流通过程中，资金随时间周转使用的结</w:t>
      </w:r>
      <w:bookmarkStart w:id="0" w:name="_GoBack"/>
      <w:bookmarkEnd w:id="0"/>
      <w:r>
        <w:rPr>
          <w:rFonts w:ascii="Tahoma" w:hAnsi="Tahoma" w:eastAsia="宋体" w:cs="Tahoma"/>
          <w:kern w:val="0"/>
          <w:sz w:val="22"/>
        </w:rPr>
        <w:t>果。</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二、影响资金时间价值的因素：</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1.资金的使用时间。在单位时间的资金增值率一定的条件下，资金使用时间越长，则资金的时间价值越大；使用时间越短，则资金的时间价值越小。</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2.资金数量的多少。在其他条件不变的情况下，资金数量越多，资金的时间价值就越多；反之，资金的时间价值则越少。</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3.资金投入和回收的特点。在总资金一定的情况下，前期投入的资金越多，资金的负效益越大；反之，后期投入的资金越多，资金的负效益越小。而在资金回收额一定的情况下，离现在越近的时间回收的资金越多，资金的时间价值就越多；反之，离现在越远的时间回收的资金越多，资金的时间价值就越少。</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4.资金周转的速度。资金周转越快，在一定的时间内等量资金的周转次数越多，资金的时间价值越多；反之，资金的时间价值越少。</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【经典例题】</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1.下列关于资金时间价值的说法中，错误的是（　）。</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A.任何资金的闲置，都会损失资金的时间价值</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B.金额不等，发生在不同时点的两笔资金可以等值</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C.单利计算没有考虑资金的时间价值</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D.资金的多少是影响资金时间价值的因素之一</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【答案】C</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【解析】本题考查的是资金时间价值的概念。利息就是资金时间价值的一种重要表现形式，不管是单利还是复利都是考虑了资金的时间价值，只是考虑的方式不同。所以选项C的说法是错误的。</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2.提高资金时间价值的途径有（　）。</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A.在单位时间的资金增值率一定的条件下，延长使用时间</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B.在其他条件不变的情况下，增加资金数量</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C.在总资金一定的情况下前期投入资金增加，后期投入资金量减少</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D.在总资金一定的情况下，调整周转速度</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E.在总资金一定的情况下，减少前期投入，加大回收力度</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【答案】ABC</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解析】本题考查的是资金时间价值的概念。根据资金时间价值的影响因素，资金的使用时间越长、早期的数量越多、周转速度越快，产生的增值越高。调整周转速度（D），可能加快，也可能减缓，故不予选择。</w:t>
      </w:r>
    </w:p>
    <w:p>
      <w:pPr>
        <w:widowControl/>
        <w:spacing w:before="100" w:beforeAutospacing="1" w:after="100" w:afterAutospacing="1"/>
        <w:jc w:val="left"/>
        <w:outlineLvl w:val="1"/>
        <w:rPr>
          <w:rFonts w:ascii="Tahoma" w:hAnsi="Tahoma" w:eastAsia="宋体" w:cs="Tahoma"/>
          <w:b/>
          <w:bCs/>
          <w:kern w:val="0"/>
          <w:sz w:val="36"/>
          <w:szCs w:val="36"/>
        </w:rPr>
      </w:pPr>
      <w:r>
        <w:rPr>
          <w:rFonts w:ascii="Tahoma" w:hAnsi="Tahoma" w:eastAsia="宋体" w:cs="Tahoma"/>
          <w:b/>
          <w:bCs/>
          <w:kern w:val="0"/>
          <w:sz w:val="36"/>
          <w:szCs w:val="36"/>
        </w:rPr>
        <w:t>　　知识点2:利息的计算</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【考频指数】</w:t>
      </w:r>
      <w:r>
        <w:rPr>
          <w:rFonts w:hint="eastAsia" w:ascii="宋体" w:hAnsi="宋体" w:eastAsia="宋体" w:cs="宋体"/>
          <w:kern w:val="0"/>
          <w:sz w:val="22"/>
        </w:rPr>
        <w:t>★★</w:t>
      </w:r>
      <w:r>
        <w:rPr>
          <w:rFonts w:ascii="宋体" w:hAnsi="宋体" w:eastAsia="宋体" w:cs="宋体"/>
          <w:kern w:val="0"/>
          <w:sz w:val="22"/>
        </w:rPr>
        <w:t>★</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【考点精讲】</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一、利息就是资金时间价值的一种重要表现形式。通常用利息额的多少作为衡量资金时间价值的绝对尺度，用利率作为衡量资金时间价值的相对尺度。在工程经济中，利息常常是指占用资金所付的代价或者是放弃使用资金所得的补偿。</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二、利率就是在单位时间内所得利息额与原借贷金额之比，通常用百分数表示。决定利率高低的因素有：</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1.利率的高低首先取决于社会平均利润率的高低，并随之变动。</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2.在社会平均利润率不变的情况下，利率高低取决于金融市场上借贷资本的供求情况。</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3.借出资本要承担一定的风险，风险越大，利率也就越高。</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4.通货膨胀对利息的波动有直接影响，资金贬值往往会使利息无形中成为负值。</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5.借出资本的期限长短。贷款期限长，不可预见因素多，风险大，利率就高；反之利率就低。</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三、利息计算的方法：</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1.单利</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所谓单利是指在计算利息时，仅用最初本金来计算，而不计入先前计息周期中所累积增加的利息，即通常所说的“利不生利”的计息方法。</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2.复利</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所谓复利是指在计算某一计息周期的利息时，其先前周期上所累积的利息要计算利息，即“利生利”、“利滚利”的计息方式。</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同一笔借款，在利率和计息周期均相同的情况下，用复利计算出的利息金额比用单利计算出的利息金额多。</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【经典例题】</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1.某施工企业从银行借款100万元期限为3年，年利率8%，按年计息并于每年末付息，则第3年末企业需偿还的本利和为（　）万元。</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A.100</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B.124</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C.126</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D.108</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【答案】D</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【解析】本题考查的是利息的计算。由于是每年计息且每年末付息，所以为单利计息。第3年末的本利和为100×8%+100＝108（万元）。</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2.某施工企业年初向银行贷款流动资金100万元，按季计算并支付利息，季度利率2%，则一年支付的利息总和为（　）万元。</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A.8.00</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B.8.08</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C.8.24</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D.8.40</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【答案】A</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【解析】本题考查的是利息的计算。100×2%×4＝8（万元）。</w:t>
      </w:r>
    </w:p>
    <w:p>
      <w:pPr>
        <w:widowControl/>
        <w:spacing w:before="100" w:beforeAutospacing="1" w:after="100" w:afterAutospacing="1"/>
        <w:jc w:val="left"/>
        <w:outlineLvl w:val="1"/>
        <w:rPr>
          <w:rFonts w:ascii="Tahoma" w:hAnsi="Tahoma" w:eastAsia="宋体" w:cs="Tahoma"/>
          <w:b/>
          <w:bCs/>
          <w:kern w:val="0"/>
          <w:sz w:val="36"/>
          <w:szCs w:val="36"/>
        </w:rPr>
      </w:pPr>
      <w:r>
        <w:rPr>
          <w:rFonts w:ascii="Tahoma" w:hAnsi="Tahoma" w:eastAsia="宋体" w:cs="Tahoma"/>
          <w:b/>
          <w:bCs/>
          <w:kern w:val="0"/>
          <w:sz w:val="36"/>
          <w:szCs w:val="36"/>
        </w:rPr>
        <w:t>　　知识点3:现金流量图的绘制</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【考频指数】</w:t>
      </w:r>
      <w:r>
        <w:rPr>
          <w:rFonts w:hint="eastAsia" w:ascii="宋体" w:hAnsi="宋体" w:eastAsia="宋体" w:cs="宋体"/>
          <w:kern w:val="0"/>
          <w:sz w:val="22"/>
        </w:rPr>
        <w:t>★★</w:t>
      </w:r>
      <w:r>
        <w:rPr>
          <w:rFonts w:ascii="宋体" w:hAnsi="宋体" w:eastAsia="宋体" w:cs="宋体"/>
          <w:kern w:val="0"/>
          <w:sz w:val="22"/>
        </w:rPr>
        <w:t>★</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【考点精讲】</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现金流量图是反映技术方案资金运动状态的图示，即把技术方案的现金流量绘入一时间坐标图中，表示出各现金流入、流出与相应时间的对应关系。</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现金流量图的作图方法和规则：</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1.以横轴为时间轴，向右延伸表示时间的延续，轴上每一刻度表示一个时间单位，可取年、半年、季或月等；时间轴上的点称为时点，通常表示的是该时间单位末的时点；0表示时间序列的起点。</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2.相对于时间坐标的垂直箭线代表不同时点的现金流量情况，现金流量的性质（流入或流出）是对特定的人而言的。对投资人而言，在横轴上方的箭线表示现金流入，即表示收益；在横轴下方的箭线表示现金流出，即表示费用。</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3.在现金流量图中，箭线长短与现金流量数值大小本应成比例。但由于技术方案中各时点现金流量常常差额悬殊而无法成比例绘出，故在现金流量图绘制中，箭线长短只要能适当体现各时点现金流量数值的差异，并在各箭线上方（或下方）注明其现金流量的数值即可。</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4.箭线与时间轴的交点即为现金流量发生的时点。</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要正确绘制现金流量图，必须把握好现金流量的三要素，即：现金流量的大小（现金流量数额）、方向（现金流入或现金流出）和作用点（现金流量发生的时点）。</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【经典例题】</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1.某企业计划年初投资200万元购置新设备以增加产量。已知设备可使用6年，每年增加产品销售收入60万元，增加经营成本30万元，设备报废时净残值为20万元。对此项投资活动绘制现金流量图，则第6年末的净现金流量可表示为（　）。</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A.向下的现金流量，数额为50万元</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B.向上的现金流量，数额为30万元</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C.向上的现金流量，数额为50万元</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D.向下的现金流量，数额为30万元</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【答案】C</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【解析】本题考查的是现金流量图的绘制。销售收入60万元、净残值20万元是现金流入，经营成本30万元是现金流出，所以第六年末的净现金流量为：60+20-30＝50万元，正的，所以箭头向上。</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2.关于现金流量图绘图规则说法，正确的有（　）。</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A.箭线长短要能适当体现各时点现金流量数值大小的差异</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B.箭线与时间轴的交点表示现金流量发生的时点</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C.横轴是时间轴，向右延伸表示时间的延续</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D.现金流量的性质对不同的人而言是相同的</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E.时间轴上的点通常表示该时间单位的起始时点</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【答案】ABC</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解析】本题考查的是现金流量图的绘制。根据资金时间价值的概念及现金流量图的绘图规则，现金流量的性质对于不同的人来说是不同的，所以需要首先确定现金流量的分析主体，才能确定是现金流入或现金流出；时间轴上的点，通常表示该时间单位的期末时点。</w:t>
      </w:r>
    </w:p>
    <w:p>
      <w:pPr>
        <w:widowControl/>
        <w:spacing w:before="100" w:beforeAutospacing="1" w:after="100" w:afterAutospacing="1"/>
        <w:jc w:val="left"/>
        <w:outlineLvl w:val="1"/>
        <w:rPr>
          <w:rFonts w:ascii="Tahoma" w:hAnsi="Tahoma" w:eastAsia="宋体" w:cs="Tahoma"/>
          <w:b/>
          <w:bCs/>
          <w:kern w:val="0"/>
          <w:sz w:val="36"/>
          <w:szCs w:val="36"/>
        </w:rPr>
      </w:pPr>
      <w:r>
        <w:rPr>
          <w:rFonts w:ascii="Tahoma" w:hAnsi="Tahoma" w:eastAsia="宋体" w:cs="Tahoma"/>
          <w:b/>
          <w:bCs/>
          <w:kern w:val="0"/>
          <w:sz w:val="36"/>
          <w:szCs w:val="36"/>
        </w:rPr>
        <w:t>　　知识点4:终值、现值和等值计算</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【考频指数】</w:t>
      </w:r>
      <w:r>
        <w:rPr>
          <w:rFonts w:hint="eastAsia" w:ascii="宋体" w:hAnsi="宋体" w:eastAsia="宋体" w:cs="宋体"/>
          <w:kern w:val="0"/>
          <w:sz w:val="22"/>
        </w:rPr>
        <w:t>★★★★</w:t>
      </w:r>
      <w:r>
        <w:rPr>
          <w:rFonts w:ascii="宋体" w:hAnsi="宋体" w:eastAsia="宋体" w:cs="宋体"/>
          <w:kern w:val="0"/>
          <w:sz w:val="22"/>
        </w:rPr>
        <w:t>★</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【考点精讲】</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终值、现值和等值计算的两个系列条件：（P表示现值，F表示终值，A表示年金）</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1.一次支付系列现金流量，又称整存整付，是指所分析技术方案的现金流量，无论是流入或是流出，分别在各时点上只发生一次。</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已知现值求终值F＝P（F/P，i，n）＝P×（1+i）</w:t>
      </w:r>
      <w:r>
        <w:rPr>
          <w:rFonts w:ascii="Tahoma" w:hAnsi="Tahoma" w:eastAsia="宋体" w:cs="Tahoma"/>
          <w:kern w:val="0"/>
          <w:sz w:val="22"/>
          <w:vertAlign w:val="superscript"/>
        </w:rPr>
        <w:t>n</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已知终值求现值P＝F（P/F，i，n）＝F×（1+i）</w:t>
      </w:r>
      <w:r>
        <w:rPr>
          <w:rFonts w:ascii="Tahoma" w:hAnsi="Tahoma" w:eastAsia="宋体" w:cs="Tahoma"/>
          <w:kern w:val="0"/>
          <w:sz w:val="22"/>
          <w:vertAlign w:val="superscript"/>
        </w:rPr>
        <w:t>-n</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两者互为逆运算。在（F/P，i，n）这类符号中，括号内斜线上的符号表示所求的未知数，斜线下的符号表示已知数。（F/P，i，n）表示在已知P、i和n的情况下求解F的值。</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2.等额支付系列现金流量，在工程经济中，多次支付是最常见的支付情形。多次支付是指现金流量在多个时点发生，而不是集中在某一个时点上。</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已知年金求终值：</w:t>
      </w:r>
      <w:r>
        <w:rPr>
          <w:rFonts w:ascii="Tahoma" w:hAnsi="Tahoma" w:eastAsia="宋体" w:cs="Tahoma"/>
          <w:kern w:val="0"/>
          <w:sz w:val="22"/>
        </w:rPr>
        <w:drawing>
          <wp:inline distT="0" distB="0" distL="0" distR="0">
            <wp:extent cx="2934335" cy="361315"/>
            <wp:effectExtent l="0" t="0" r="18415" b="635"/>
            <wp:docPr id="12" name="图片 12" descr="http://ebook.jianshe99.com/ebook/50003/500110/86/Images/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http://ebook.jianshe99.com/ebook/50003/500110/86/Images/image1.jpg"/>
                    <pic:cNvPicPr>
                      <a:picLocks noChangeAspect="1" noChangeArrowheads="1"/>
                    </pic:cNvPicPr>
                  </pic:nvPicPr>
                  <pic:blipFill>
                    <a:blip r:embed="rId5" cstate="print"/>
                    <a:srcRect/>
                    <a:stretch>
                      <a:fillRect/>
                    </a:stretch>
                  </pic:blipFill>
                  <pic:spPr>
                    <a:xfrm>
                      <a:off x="0" y="0"/>
                      <a:ext cx="2934335" cy="361315"/>
                    </a:xfrm>
                    <a:prstGeom prst="rect">
                      <a:avLst/>
                    </a:prstGeom>
                    <a:noFill/>
                    <a:ln w="9525">
                      <a:noFill/>
                      <a:miter lim="800000"/>
                      <a:headEnd/>
                      <a:tailEnd/>
                    </a:ln>
                  </pic:spPr>
                </pic:pic>
              </a:graphicData>
            </a:graphic>
          </wp:inline>
        </w:drawing>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已知年金求现值：</w:t>
      </w:r>
      <w:r>
        <w:rPr>
          <w:rFonts w:ascii="Tahoma" w:hAnsi="Tahoma" w:eastAsia="宋体" w:cs="Tahoma"/>
          <w:kern w:val="0"/>
          <w:sz w:val="22"/>
        </w:rPr>
        <w:drawing>
          <wp:inline distT="0" distB="0" distL="0" distR="0">
            <wp:extent cx="4592955" cy="403860"/>
            <wp:effectExtent l="0" t="0" r="17145" b="15240"/>
            <wp:docPr id="13" name="图片 13" descr="http://ebook.jianshe99.com/ebook/50003/500110/86/Images/im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http://ebook.jianshe99.com/ebook/50003/500110/86/Images/image2.jpg"/>
                    <pic:cNvPicPr>
                      <a:picLocks noChangeAspect="1" noChangeArrowheads="1"/>
                    </pic:cNvPicPr>
                  </pic:nvPicPr>
                  <pic:blipFill>
                    <a:blip r:embed="rId6" cstate="print"/>
                    <a:srcRect/>
                    <a:stretch>
                      <a:fillRect/>
                    </a:stretch>
                  </pic:blipFill>
                  <pic:spPr>
                    <a:xfrm>
                      <a:off x="0" y="0"/>
                      <a:ext cx="4592955" cy="403860"/>
                    </a:xfrm>
                    <a:prstGeom prst="rect">
                      <a:avLst/>
                    </a:prstGeom>
                    <a:noFill/>
                    <a:ln w="9525">
                      <a:noFill/>
                      <a:miter lim="800000"/>
                      <a:headEnd/>
                      <a:tailEnd/>
                    </a:ln>
                  </pic:spPr>
                </pic:pic>
              </a:graphicData>
            </a:graphic>
          </wp:inline>
        </w:drawing>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其实质是</w:t>
      </w:r>
      <w:r>
        <w:rPr>
          <w:rFonts w:ascii="Tahoma" w:hAnsi="Tahoma" w:eastAsia="宋体" w:cs="Tahoma"/>
          <w:kern w:val="0"/>
          <w:sz w:val="22"/>
        </w:rPr>
        <w:drawing>
          <wp:inline distT="0" distB="0" distL="0" distR="0">
            <wp:extent cx="1265555" cy="467995"/>
            <wp:effectExtent l="0" t="0" r="10795" b="8255"/>
            <wp:docPr id="14" name="图片 14" descr="http://ebook.jianshe99.com/ebook/50003/500110/86/Images/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http://ebook.jianshe99.com/ebook/50003/500110/86/Images/image3.jpg"/>
                    <pic:cNvPicPr>
                      <a:picLocks noChangeAspect="1" noChangeArrowheads="1"/>
                    </pic:cNvPicPr>
                  </pic:nvPicPr>
                  <pic:blipFill>
                    <a:blip r:embed="rId7" cstate="print"/>
                    <a:srcRect/>
                    <a:stretch>
                      <a:fillRect/>
                    </a:stretch>
                  </pic:blipFill>
                  <pic:spPr>
                    <a:xfrm>
                      <a:off x="0" y="0"/>
                      <a:ext cx="1265555" cy="467995"/>
                    </a:xfrm>
                    <a:prstGeom prst="rect">
                      <a:avLst/>
                    </a:prstGeom>
                    <a:noFill/>
                    <a:ln w="9525">
                      <a:noFill/>
                      <a:miter lim="800000"/>
                      <a:headEnd/>
                      <a:tailEnd/>
                    </a:ln>
                  </pic:spPr>
                </pic:pic>
              </a:graphicData>
            </a:graphic>
          </wp:inline>
        </w:drawing>
      </w:r>
      <w:r>
        <w:rPr>
          <w:rFonts w:ascii="Tahoma" w:hAnsi="Tahoma" w:eastAsia="宋体" w:cs="Tahoma"/>
          <w:kern w:val="0"/>
          <w:sz w:val="22"/>
        </w:rPr>
        <w:t>与F＝P×（1+i）</w:t>
      </w:r>
      <w:r>
        <w:rPr>
          <w:rFonts w:ascii="Tahoma" w:hAnsi="Tahoma" w:eastAsia="宋体" w:cs="Tahoma"/>
          <w:kern w:val="0"/>
          <w:sz w:val="22"/>
          <w:vertAlign w:val="superscript"/>
        </w:rPr>
        <w:t>n</w:t>
      </w:r>
      <w:r>
        <w:rPr>
          <w:rFonts w:ascii="Tahoma" w:hAnsi="Tahoma" w:eastAsia="宋体" w:cs="Tahoma"/>
          <w:kern w:val="0"/>
          <w:sz w:val="22"/>
        </w:rPr>
        <w:t>两个公式的结合。</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由</w:t>
      </w:r>
      <w:r>
        <w:rPr>
          <w:rFonts w:ascii="Tahoma" w:hAnsi="Tahoma" w:eastAsia="宋体" w:cs="Tahoma"/>
          <w:kern w:val="0"/>
          <w:sz w:val="22"/>
        </w:rPr>
        <w:drawing>
          <wp:inline distT="0" distB="0" distL="0" distR="0">
            <wp:extent cx="2009775" cy="382905"/>
            <wp:effectExtent l="0" t="0" r="9525" b="17145"/>
            <wp:docPr id="15" name="图片 15" descr="http://ebook.jianshe99.com/ebook/50003/500110/86/Images/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http://ebook.jianshe99.com/ebook/50003/500110/86/Images/image4.jpg"/>
                    <pic:cNvPicPr>
                      <a:picLocks noChangeAspect="1" noChangeArrowheads="1"/>
                    </pic:cNvPicPr>
                  </pic:nvPicPr>
                  <pic:blipFill>
                    <a:blip r:embed="rId8" cstate="print"/>
                    <a:srcRect/>
                    <a:stretch>
                      <a:fillRect/>
                    </a:stretch>
                  </pic:blipFill>
                  <pic:spPr>
                    <a:xfrm>
                      <a:off x="0" y="0"/>
                      <a:ext cx="2009775" cy="382905"/>
                    </a:xfrm>
                    <a:prstGeom prst="rect">
                      <a:avLst/>
                    </a:prstGeom>
                    <a:noFill/>
                    <a:ln w="9525">
                      <a:noFill/>
                      <a:miter lim="800000"/>
                      <a:headEnd/>
                      <a:tailEnd/>
                    </a:ln>
                  </pic:spPr>
                </pic:pic>
              </a:graphicData>
            </a:graphic>
          </wp:inline>
        </w:drawing>
      </w:r>
      <w:r>
        <w:rPr>
          <w:rFonts w:ascii="Tahoma" w:hAnsi="Tahoma" w:eastAsia="宋体" w:cs="Tahoma"/>
          <w:kern w:val="0"/>
          <w:sz w:val="22"/>
        </w:rPr>
        <w:t>推导出：</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drawing>
          <wp:inline distT="0" distB="0" distL="0" distR="0">
            <wp:extent cx="1360805" cy="340360"/>
            <wp:effectExtent l="0" t="0" r="10795" b="2540"/>
            <wp:docPr id="16" name="图片 16" descr="http://ebook.jianshe99.com/ebook/50003/500110/86/Images/imag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http://ebook.jianshe99.com/ebook/50003/500110/86/Images/image5.jpg"/>
                    <pic:cNvPicPr>
                      <a:picLocks noChangeAspect="1" noChangeArrowheads="1"/>
                    </pic:cNvPicPr>
                  </pic:nvPicPr>
                  <pic:blipFill>
                    <a:blip r:embed="rId9" cstate="print"/>
                    <a:srcRect/>
                    <a:stretch>
                      <a:fillRect/>
                    </a:stretch>
                  </pic:blipFill>
                  <pic:spPr>
                    <a:xfrm>
                      <a:off x="0" y="0"/>
                      <a:ext cx="1360805" cy="340360"/>
                    </a:xfrm>
                    <a:prstGeom prst="rect">
                      <a:avLst/>
                    </a:prstGeom>
                    <a:noFill/>
                    <a:ln w="9525">
                      <a:noFill/>
                      <a:miter lim="800000"/>
                      <a:headEnd/>
                      <a:tailEnd/>
                    </a:ln>
                  </pic:spPr>
                </pic:pic>
              </a:graphicData>
            </a:graphic>
          </wp:inline>
        </w:drawing>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从公式推导中也可以看出年金、终值、现值他们三者是可以互相推导的。</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【经典例题】</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1.某施工企业投资200万元购入一台施工机械，计划从购买日起的未来6年等额收回投资并获取收益。若基准收益率为10%，复利计息，则每年末应获得的净现金流入为（　）万元。</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A.200×（A/P，10%，6）</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B.200×（F/P，10%，6）</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C.200×（A/P，10%，7）</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D.200×（A/F，10%，7）</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【答案】A</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【解析】本题考查的是终值和现值计算。200万为现值，6年等额回收投资并取得收益，则求A。</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2.下列关于现值P、终值F、年金A、利率i、计息期数n之间关系的描述中，正确的是（　）。</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A.F一定、n相同时，i越高、P越大</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B.P一定、n相同时，i越高、F越小</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C.i、n相同时，F与P呈同向变化</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D.i、n相同时，F与P呈反向变化</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【答案】C</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【解析】本题考查的是终值与现值的计算。F一定、n相同时，i越高、P越小，所以选项A不正确；P一定、n相同时，i越高、F越大，所以选项B不正确；i、n相同时，F与P呈同向变化，所以选项D不正确。</w:t>
      </w:r>
    </w:p>
    <w:p>
      <w:pPr>
        <w:widowControl/>
        <w:spacing w:before="100" w:beforeAutospacing="1" w:after="100" w:afterAutospacing="1"/>
        <w:jc w:val="left"/>
        <w:outlineLvl w:val="1"/>
        <w:rPr>
          <w:rFonts w:ascii="Tahoma" w:hAnsi="Tahoma" w:eastAsia="宋体" w:cs="Tahoma"/>
          <w:b/>
          <w:bCs/>
          <w:kern w:val="0"/>
          <w:sz w:val="36"/>
          <w:szCs w:val="36"/>
        </w:rPr>
      </w:pPr>
      <w:r>
        <w:rPr>
          <w:rFonts w:ascii="Tahoma" w:hAnsi="Tahoma" w:eastAsia="宋体" w:cs="Tahoma"/>
          <w:b/>
          <w:bCs/>
          <w:kern w:val="0"/>
          <w:sz w:val="36"/>
          <w:szCs w:val="36"/>
        </w:rPr>
        <w:t>　　知识点5:名义利率与有效利率</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【考频指数】</w:t>
      </w:r>
      <w:r>
        <w:rPr>
          <w:rFonts w:hint="eastAsia" w:ascii="宋体" w:hAnsi="宋体" w:eastAsia="宋体" w:cs="宋体"/>
          <w:kern w:val="0"/>
          <w:sz w:val="22"/>
        </w:rPr>
        <w:t>★★★</w:t>
      </w:r>
      <w:r>
        <w:rPr>
          <w:rFonts w:ascii="宋体" w:hAnsi="宋体" w:eastAsia="宋体" w:cs="宋体"/>
          <w:kern w:val="0"/>
          <w:sz w:val="22"/>
        </w:rPr>
        <w:t>★</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【考点精讲】</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在复利计算中，利率周期通常以年为单位，它可以与计息周期相同，也可以不同。当计息周期小于一年时，就出现了名义利率和有效利率的概念。</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名义利率r是指计息周期利率i乘以一年内的计息周期数m所得的年利率。</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r＝i×m</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有效利率是指资金在计息中所发生的实际利率，包括计息周期有效利率和年有效利率两种情况。</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计息周期有效利率，即计息周期利率i；</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i＝r/m</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若用计息周期利率来计算年有效利率，并将年内的利息再生因素考虑进去，这时所得的年利率称为年有效利率（又称年实际利率）。</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drawing>
          <wp:inline distT="0" distB="0" distL="0" distR="0">
            <wp:extent cx="1329055" cy="318770"/>
            <wp:effectExtent l="0" t="0" r="4445" b="5080"/>
            <wp:docPr id="24" name="图片 24" descr="http://ebook.jianshe99.com/ebook/50003/500110/86/Images/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http://ebook.jianshe99.com/ebook/50003/500110/86/Images/image6.jpg"/>
                    <pic:cNvPicPr>
                      <a:picLocks noChangeAspect="1" noChangeArrowheads="1"/>
                    </pic:cNvPicPr>
                  </pic:nvPicPr>
                  <pic:blipFill>
                    <a:blip r:embed="rId10" cstate="print"/>
                    <a:srcRect/>
                    <a:stretch>
                      <a:fillRect/>
                    </a:stretch>
                  </pic:blipFill>
                  <pic:spPr>
                    <a:xfrm>
                      <a:off x="0" y="0"/>
                      <a:ext cx="1329055" cy="318770"/>
                    </a:xfrm>
                    <a:prstGeom prst="rect">
                      <a:avLst/>
                    </a:prstGeom>
                    <a:noFill/>
                    <a:ln w="9525">
                      <a:noFill/>
                      <a:miter lim="800000"/>
                      <a:headEnd/>
                      <a:tailEnd/>
                    </a:ln>
                  </pic:spPr>
                </pic:pic>
              </a:graphicData>
            </a:graphic>
          </wp:inline>
        </w:drawing>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年有效利率和名义利率的关系实质上与复利和单利的关系一样。</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但应注意，对等额系列流量，只有计息周期与收付周期一致时才能按计息期利率计算。否则，只能用收付周期实际利率来计算。</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【经典例题】</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1.若名义利率一定，则有效利率与一年中计息周期数m的关系为（　）。</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A.计息周期数增加，年有效利率不变</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B.计息周期数增加，年有效利率减小</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C.计息周期数增加，年有效利率增加</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D.计息周期数减小，年有效利率增加</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【答案】C</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【解析】本题考查的是有效利率的计算。计息周期数增加，年有效利率应增加。</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2.某单位预计从现在起连续3年年末有4万元的专项支出，为此准备存入银行一笔专项基金，如果年利率为12%，复利半年计息一次，现在存入银行专项基金的最小额度是（　）。</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A.9.548万元</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B.9.652万元</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C.10.692万元</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D.19.668万元</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【答案】A</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解析】本题考查的是计息周期小于或（或等于）资金收付周期时的等值计算。半年利率为6%，首先把4万元的年末支付换算成一年中的两次等额支付，在计算三年中六次等额支付的现值。P＝4×（A/F，6%，2）×（P/A，6%，6）＝9.548万元。</w:t>
      </w:r>
    </w:p>
    <w:p>
      <w:pPr>
        <w:widowControl/>
        <w:spacing w:before="100" w:beforeAutospacing="1" w:after="100" w:afterAutospacing="1"/>
        <w:jc w:val="left"/>
        <w:outlineLvl w:val="1"/>
        <w:rPr>
          <w:rFonts w:ascii="Tahoma" w:hAnsi="Tahoma" w:eastAsia="宋体" w:cs="Tahoma"/>
          <w:b/>
          <w:bCs/>
          <w:kern w:val="0"/>
          <w:sz w:val="36"/>
          <w:szCs w:val="36"/>
        </w:rPr>
      </w:pPr>
      <w:r>
        <w:rPr>
          <w:rFonts w:ascii="Tahoma" w:hAnsi="Tahoma" w:eastAsia="宋体" w:cs="Tahoma"/>
          <w:b/>
          <w:bCs/>
          <w:kern w:val="0"/>
          <w:sz w:val="36"/>
          <w:szCs w:val="36"/>
        </w:rPr>
        <w:t>　　知识点6:技术方案经济效果评价体系</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【考频指数】</w:t>
      </w:r>
      <w:r>
        <w:rPr>
          <w:rFonts w:hint="eastAsia" w:ascii="宋体" w:hAnsi="宋体" w:eastAsia="宋体" w:cs="宋体"/>
          <w:kern w:val="0"/>
          <w:sz w:val="22"/>
        </w:rPr>
        <w:t>★★</w:t>
      </w:r>
      <w:r>
        <w:rPr>
          <w:rFonts w:ascii="宋体" w:hAnsi="宋体" w:eastAsia="宋体" w:cs="宋体"/>
          <w:kern w:val="0"/>
          <w:sz w:val="22"/>
        </w:rPr>
        <w:t>★</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【考点精讲】</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经济效果评价的内容应根据技术方案的性质、目标、投资者、财务主体以及方案对经济与社会的影响程度等具体情况确定，一般包括方案盈利能力、偿债能力、财务生存能力等评价内容。</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在实际应用中，对于经营性方案，经济效果评价分析拟定技术方案的盈利能力、偿债能力和财务生存能力。对于非经营性方案，经济效果评价应主要分析拟定技术方案的财务生存能力。</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经济效果评价的方法按其是否考虑时间因素又可分为静态分析和动态分析。静态分析是不考虑资金的时间因素，亦即不考虑时间因素对资金价值的影响，而对现金流量分别进行直接汇总来计算分析指标的方法。动态分析是在分析方案的经济效果时，对发生在不同时间的现金流量折现后来计算分析指标。</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技术方案的计算期是指在经济效果评价中为进行动态分析所设定的期限，包括建设期和运营期。运营期分为投产期（技术方案投入生产，但生产能力尚未完全达到设计能力时的过渡阶段）和达产期（生产运营达到设计预期水平后的时间）两个阶段。</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经济效果评价的基本方法包括确定性评价方法与不确定性评价方法两类。确定性分析中又分为技术方案的盈利能力分析和偿债能力分析；不确定性分析主要包括盈亏平衡分析和敏感性分析。盈利能力分析又将分析指标分为动态分析指标和静态分析指标。静态分析指标主要有投资收益率和静态投资回收期；动态分析指标主要有财务内部收益率和财务净现值。偿债能力分析中的分析指标主要有利息备付率、偿债备付率、借款偿还期、资产负债率、流动比率和速动比率。</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【经典例题】</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1.下列关于技术方案经济效果评价基本内容的说法，正确的是（　）。</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A.技术方案的盈利能力分析指标主要包括财务内部收益率和财务净现值等</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B.技术方案的偿债能力分析指标主要有静态投资回收期和利息备付率等</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C.技术方案的财务生存能力分析指标主要有资本金净利率</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D.非经营性技术方案应该分析盈利能力和偿债能力</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【答案】A</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解析】本题考查的是经济效果评价的基本内容。选项B中，静态投资回收期是盈利能力分析指标；选项C中，财务生存能力主要分析财务净现值和累计盈余资金。资本金净利率是盈利能力指标；选项D中，非经营性技术方案只需要分析其财务生存能力即可。所以答案应为选项A。</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2.技术方案的盈利能力指标包括（　）。</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A.财务内部收益率</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B.财务净现值</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C.资本金净利润率</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D.偿债备付率</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E.利息备付率</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【答案】ABC</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【解析】本题考查的是经济效果评价的基本内容。偿债备付率与利息备付率是技术方案偿债能力的指标。</w:t>
      </w:r>
    </w:p>
    <w:p>
      <w:pPr>
        <w:widowControl/>
        <w:spacing w:before="100" w:beforeAutospacing="1" w:after="100" w:afterAutospacing="1"/>
        <w:jc w:val="left"/>
        <w:outlineLvl w:val="1"/>
        <w:rPr>
          <w:rFonts w:ascii="Tahoma" w:hAnsi="Tahoma" w:eastAsia="宋体" w:cs="Tahoma"/>
          <w:b/>
          <w:bCs/>
          <w:kern w:val="0"/>
          <w:sz w:val="36"/>
          <w:szCs w:val="36"/>
        </w:rPr>
      </w:pPr>
      <w:r>
        <w:rPr>
          <w:rFonts w:ascii="Tahoma" w:hAnsi="Tahoma" w:eastAsia="宋体" w:cs="Tahoma"/>
          <w:b/>
          <w:bCs/>
          <w:kern w:val="0"/>
          <w:sz w:val="36"/>
          <w:szCs w:val="36"/>
        </w:rPr>
        <w:t>　　知识点7:技术方案经济效果评价指标</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【考频指数】</w:t>
      </w:r>
      <w:r>
        <w:rPr>
          <w:rFonts w:hint="eastAsia" w:ascii="宋体" w:hAnsi="宋体" w:eastAsia="宋体" w:cs="宋体"/>
          <w:kern w:val="0"/>
          <w:sz w:val="22"/>
        </w:rPr>
        <w:t>★★★★</w:t>
      </w:r>
      <w:r>
        <w:rPr>
          <w:rFonts w:ascii="宋体" w:hAnsi="宋体" w:eastAsia="宋体" w:cs="宋体"/>
          <w:kern w:val="0"/>
          <w:sz w:val="22"/>
        </w:rPr>
        <w:t>★</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【考点精讲】</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一、投资收益率</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1.概念：投资收益率是技术方案建成投产达到设计生产能力后一个正常生产年份的年净收益额与技术方案投资的比率。</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2.判别准则：投资收益率大于基准收益率，方案可行；否则，不可行。</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二、总投资收益率</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1.概念：正常年份的年息税前利润或运营期内年平均息税前利润与技术方案总投资的比值。</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2.判别准则：总投资收益率大于行业平均收益率，方案可行；否则，不可行。</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三、资本金净利润率</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1.概念：正常年份的年净利润或运营期内年平均净利润与技术方案资本金的比值。</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2.判别准则：资本金净利润率高于同行业净利润率参考值，方案可行；否则，不可行。</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3.优劣：投资收益率指标经济意义明确、直观，计算简便，在一定程度上反映了投资效果的优劣，可适用于各种投资规模。但不足的是没有考虑投资收益的时间因素，忽视了资金具有时间价值的重要性；指标的计算主观随意性太强，适用于工艺简单而生产情况变化不大的技术方案的选择和投资经济效果的评价。</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四、静态投资回收期</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1.概念：在不考虑资金时间价值的条件下，以技术方案的净收益回收其总投资（包括建设投资和流动资金）所需要的时间。</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2.判别准则：静态投资回收期大于基准投资回收期，方案不可行；反之，可行。</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3.优劣：静态投资回收期指标容易理解，计算也比较简便，在一定程度上显示了资本的周转速度。但不足的是，静态投资回收期没有全面地考虑技术方案整个计算期内现金流量，即只考虑回收之前的效果，不能反映投资回收之后的情况，故无法准确衡量技术方案在整个计算期内的经济效果。它只能作为辅助评价指标，或与其他评价指标结合应用。</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五、财务净现值</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1.概念：用一个预定的基准收益率分别把整个计算期间内各年所发生的净现金流量都折现到技术方案开始实施时的现值之和。</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2.判别准则：财务净现值大于0，方案可行；否则，不可行；财务净现值等于0，财务上可行。</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3.优劣：财务净现值指标考虑了资金的时间价值，并全面考虑了技术方案在整个计算期内现金流量的时间分布的状况；经济意义明确直观，能够直接以货币额表示技术方案的盈利水平；判断直观。不足之处是必须首先确定一个符合经济现实的基准收益率，而基准收益率的确定往往是比较困难的；在互斥方案评价时，财务净现值必须慎重考虑互斥方案的寿命，如果互斥方案寿命不等，必须构造一个相同的分析期限，才能进行各个方案之间的比选；财务净现值也不能真正反映技术方案投资中单位投资的使用效率；不能直接说明在技术方案运营期间各年的经营成果；没有给出该投资过程确切的收益大小，不能反映投资的回收速度。</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六、财务内部收益率</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1.概念：使技术方案在计算期内各年净现金流量的现值累计等于零时的折现率。</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2.判别准则：财务内部收益率大于等于基准收益率，方案可行；否则，不可行。</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3.优劣:财务内部收益率指标考虑了资金的时间价值以及技术方案在整个计算期内的经济状况，不仅能反映投资过程的收益程度，还避免了像财务净现值之类的指标那样须事先确定基准收益率的难题。但不足的是财务内部收益率计算比较麻烦；对于具有非常规现金流量的技术方案来讲，其财务内部收益率在某些情况下甚至不存在或存在多个内部收益率。</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【经典例题】</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1.某建设项目，第1-3年每年年末投入建设资金500万元，第4-8年每年年末获得利润800万元，则该项目的静态投资回收期为（　）年。</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A.3.87</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B.4.88</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C.4.90</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D.4.96</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【答案】B</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【解析】本题考查的是投资回收期的应用式。根据题意，可以将各年的现金流量列入下表，并计算出累计净现金流量。</w:t>
      </w:r>
    </w:p>
    <w:tbl>
      <w:tblPr>
        <w:tblStyle w:val="8"/>
        <w:tblW w:w="565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695"/>
        <w:gridCol w:w="495"/>
        <w:gridCol w:w="615"/>
        <w:gridCol w:w="615"/>
        <w:gridCol w:w="495"/>
        <w:gridCol w:w="375"/>
        <w:gridCol w:w="375"/>
        <w:gridCol w:w="495"/>
        <w:gridCol w:w="49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1695" w:type="dxa"/>
            <w:tcBorders>
              <w:top w:val="outset" w:color="auto" w:sz="6" w:space="0"/>
              <w:left w:val="outset" w:color="auto" w:sz="6" w:space="0"/>
              <w:bottom w:val="outset" w:color="auto" w:sz="6" w:space="0"/>
              <w:right w:val="outset" w:color="auto" w:sz="6" w:space="0"/>
            </w:tcBorders>
            <w:vAlign w:val="center"/>
          </w:tcPr>
          <w:p>
            <w:pPr>
              <w:widowControl/>
              <w:jc w:val="left"/>
              <w:rPr>
                <w:rFonts w:ascii="Tahoma" w:hAnsi="Tahoma" w:eastAsia="宋体" w:cs="Tahoma"/>
                <w:kern w:val="0"/>
                <w:sz w:val="20"/>
                <w:szCs w:val="20"/>
              </w:rPr>
            </w:pPr>
          </w:p>
        </w:tc>
        <w:tc>
          <w:tcPr>
            <w:tcW w:w="49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1</w:t>
            </w:r>
          </w:p>
        </w:tc>
        <w:tc>
          <w:tcPr>
            <w:tcW w:w="61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2</w:t>
            </w:r>
          </w:p>
        </w:tc>
        <w:tc>
          <w:tcPr>
            <w:tcW w:w="61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3</w:t>
            </w:r>
          </w:p>
        </w:tc>
        <w:tc>
          <w:tcPr>
            <w:tcW w:w="49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4</w:t>
            </w:r>
          </w:p>
        </w:tc>
        <w:tc>
          <w:tcPr>
            <w:tcW w:w="37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5</w:t>
            </w:r>
          </w:p>
        </w:tc>
        <w:tc>
          <w:tcPr>
            <w:tcW w:w="37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6</w:t>
            </w:r>
          </w:p>
        </w:tc>
        <w:tc>
          <w:tcPr>
            <w:tcW w:w="49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7</w:t>
            </w:r>
          </w:p>
        </w:tc>
        <w:tc>
          <w:tcPr>
            <w:tcW w:w="49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8</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169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现金流入量</w:t>
            </w:r>
          </w:p>
        </w:tc>
        <w:tc>
          <w:tcPr>
            <w:tcW w:w="495" w:type="dxa"/>
            <w:tcBorders>
              <w:top w:val="outset" w:color="auto" w:sz="6" w:space="0"/>
              <w:left w:val="outset" w:color="auto" w:sz="6" w:space="0"/>
              <w:bottom w:val="outset" w:color="auto" w:sz="6" w:space="0"/>
              <w:right w:val="outset" w:color="auto" w:sz="6" w:space="0"/>
            </w:tcBorders>
            <w:vAlign w:val="center"/>
          </w:tcPr>
          <w:p>
            <w:pPr>
              <w:widowControl/>
              <w:jc w:val="left"/>
              <w:rPr>
                <w:rFonts w:ascii="Tahoma" w:hAnsi="Tahoma" w:eastAsia="宋体" w:cs="Tahoma"/>
                <w:kern w:val="0"/>
                <w:sz w:val="20"/>
                <w:szCs w:val="20"/>
              </w:rPr>
            </w:pPr>
          </w:p>
        </w:tc>
        <w:tc>
          <w:tcPr>
            <w:tcW w:w="615" w:type="dxa"/>
            <w:tcBorders>
              <w:top w:val="outset" w:color="auto" w:sz="6" w:space="0"/>
              <w:left w:val="outset" w:color="auto" w:sz="6" w:space="0"/>
              <w:bottom w:val="outset" w:color="auto" w:sz="6" w:space="0"/>
              <w:right w:val="outset" w:color="auto" w:sz="6" w:space="0"/>
            </w:tcBorders>
            <w:vAlign w:val="center"/>
          </w:tcPr>
          <w:p>
            <w:pPr>
              <w:widowControl/>
              <w:jc w:val="left"/>
              <w:rPr>
                <w:rFonts w:ascii="Tahoma" w:hAnsi="Tahoma" w:eastAsia="宋体" w:cs="Tahoma"/>
                <w:kern w:val="0"/>
                <w:sz w:val="20"/>
                <w:szCs w:val="20"/>
              </w:rPr>
            </w:pPr>
          </w:p>
        </w:tc>
        <w:tc>
          <w:tcPr>
            <w:tcW w:w="615" w:type="dxa"/>
            <w:tcBorders>
              <w:top w:val="outset" w:color="auto" w:sz="6" w:space="0"/>
              <w:left w:val="outset" w:color="auto" w:sz="6" w:space="0"/>
              <w:bottom w:val="outset" w:color="auto" w:sz="6" w:space="0"/>
              <w:right w:val="outset" w:color="auto" w:sz="6" w:space="0"/>
            </w:tcBorders>
            <w:vAlign w:val="center"/>
          </w:tcPr>
          <w:p>
            <w:pPr>
              <w:widowControl/>
              <w:jc w:val="left"/>
              <w:rPr>
                <w:rFonts w:ascii="Tahoma" w:hAnsi="Tahoma" w:eastAsia="宋体" w:cs="Tahoma"/>
                <w:kern w:val="0"/>
                <w:sz w:val="20"/>
                <w:szCs w:val="20"/>
              </w:rPr>
            </w:pPr>
          </w:p>
        </w:tc>
        <w:tc>
          <w:tcPr>
            <w:tcW w:w="49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800</w:t>
            </w:r>
          </w:p>
        </w:tc>
        <w:tc>
          <w:tcPr>
            <w:tcW w:w="37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800</w:t>
            </w:r>
          </w:p>
        </w:tc>
        <w:tc>
          <w:tcPr>
            <w:tcW w:w="37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800</w:t>
            </w:r>
          </w:p>
        </w:tc>
        <w:tc>
          <w:tcPr>
            <w:tcW w:w="49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800</w:t>
            </w:r>
          </w:p>
        </w:tc>
        <w:tc>
          <w:tcPr>
            <w:tcW w:w="49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800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169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现金流出量</w:t>
            </w:r>
          </w:p>
        </w:tc>
        <w:tc>
          <w:tcPr>
            <w:tcW w:w="49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500</w:t>
            </w:r>
          </w:p>
        </w:tc>
        <w:tc>
          <w:tcPr>
            <w:tcW w:w="61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500</w:t>
            </w:r>
          </w:p>
        </w:tc>
        <w:tc>
          <w:tcPr>
            <w:tcW w:w="61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500</w:t>
            </w:r>
          </w:p>
        </w:tc>
        <w:tc>
          <w:tcPr>
            <w:tcW w:w="495" w:type="dxa"/>
            <w:tcBorders>
              <w:top w:val="outset" w:color="auto" w:sz="6" w:space="0"/>
              <w:left w:val="outset" w:color="auto" w:sz="6" w:space="0"/>
              <w:bottom w:val="outset" w:color="auto" w:sz="6" w:space="0"/>
              <w:right w:val="outset" w:color="auto" w:sz="6" w:space="0"/>
            </w:tcBorders>
            <w:vAlign w:val="center"/>
          </w:tcPr>
          <w:p>
            <w:pPr>
              <w:widowControl/>
              <w:jc w:val="left"/>
              <w:rPr>
                <w:rFonts w:ascii="Tahoma" w:hAnsi="Tahoma" w:eastAsia="宋体" w:cs="Tahoma"/>
                <w:kern w:val="0"/>
                <w:sz w:val="20"/>
                <w:szCs w:val="20"/>
              </w:rPr>
            </w:pPr>
          </w:p>
        </w:tc>
        <w:tc>
          <w:tcPr>
            <w:tcW w:w="375" w:type="dxa"/>
            <w:tcBorders>
              <w:top w:val="outset" w:color="auto" w:sz="6" w:space="0"/>
              <w:left w:val="outset" w:color="auto" w:sz="6" w:space="0"/>
              <w:bottom w:val="outset" w:color="auto" w:sz="6" w:space="0"/>
              <w:right w:val="outset" w:color="auto" w:sz="6" w:space="0"/>
            </w:tcBorders>
            <w:vAlign w:val="center"/>
          </w:tcPr>
          <w:p>
            <w:pPr>
              <w:widowControl/>
              <w:jc w:val="left"/>
              <w:rPr>
                <w:rFonts w:ascii="Tahoma" w:hAnsi="Tahoma" w:eastAsia="宋体" w:cs="Tahoma"/>
                <w:kern w:val="0"/>
                <w:sz w:val="20"/>
                <w:szCs w:val="20"/>
              </w:rPr>
            </w:pPr>
          </w:p>
        </w:tc>
        <w:tc>
          <w:tcPr>
            <w:tcW w:w="375" w:type="dxa"/>
            <w:tcBorders>
              <w:top w:val="outset" w:color="auto" w:sz="6" w:space="0"/>
              <w:left w:val="outset" w:color="auto" w:sz="6" w:space="0"/>
              <w:bottom w:val="outset" w:color="auto" w:sz="6" w:space="0"/>
              <w:right w:val="outset" w:color="auto" w:sz="6" w:space="0"/>
            </w:tcBorders>
            <w:vAlign w:val="center"/>
          </w:tcPr>
          <w:p>
            <w:pPr>
              <w:widowControl/>
              <w:jc w:val="left"/>
              <w:rPr>
                <w:rFonts w:ascii="Tahoma" w:hAnsi="Tahoma" w:eastAsia="宋体" w:cs="Tahoma"/>
                <w:kern w:val="0"/>
                <w:sz w:val="20"/>
                <w:szCs w:val="20"/>
              </w:rPr>
            </w:pPr>
          </w:p>
        </w:tc>
        <w:tc>
          <w:tcPr>
            <w:tcW w:w="495" w:type="dxa"/>
            <w:tcBorders>
              <w:top w:val="outset" w:color="auto" w:sz="6" w:space="0"/>
              <w:left w:val="outset" w:color="auto" w:sz="6" w:space="0"/>
              <w:bottom w:val="outset" w:color="auto" w:sz="6" w:space="0"/>
              <w:right w:val="outset" w:color="auto" w:sz="6" w:space="0"/>
            </w:tcBorders>
            <w:vAlign w:val="center"/>
          </w:tcPr>
          <w:p>
            <w:pPr>
              <w:widowControl/>
              <w:jc w:val="left"/>
              <w:rPr>
                <w:rFonts w:ascii="Tahoma" w:hAnsi="Tahoma" w:eastAsia="宋体" w:cs="Tahoma"/>
                <w:kern w:val="0"/>
                <w:sz w:val="20"/>
                <w:szCs w:val="20"/>
              </w:rPr>
            </w:pPr>
          </w:p>
        </w:tc>
        <w:tc>
          <w:tcPr>
            <w:tcW w:w="495" w:type="dxa"/>
            <w:tcBorders>
              <w:top w:val="outset" w:color="auto" w:sz="6" w:space="0"/>
              <w:left w:val="outset" w:color="auto" w:sz="6" w:space="0"/>
              <w:bottom w:val="outset" w:color="auto" w:sz="6" w:space="0"/>
              <w:right w:val="outset" w:color="auto" w:sz="6" w:space="0"/>
            </w:tcBorders>
            <w:vAlign w:val="center"/>
          </w:tcPr>
          <w:p>
            <w:pPr>
              <w:widowControl/>
              <w:jc w:val="left"/>
              <w:rPr>
                <w:rFonts w:ascii="Tahoma" w:hAnsi="Tahoma" w:eastAsia="宋体" w:cs="Tahoma"/>
                <w:kern w:val="0"/>
                <w:sz w:val="20"/>
                <w:szCs w:val="20"/>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169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净现金流量</w:t>
            </w:r>
          </w:p>
        </w:tc>
        <w:tc>
          <w:tcPr>
            <w:tcW w:w="49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-500</w:t>
            </w:r>
          </w:p>
        </w:tc>
        <w:tc>
          <w:tcPr>
            <w:tcW w:w="61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-500</w:t>
            </w:r>
          </w:p>
        </w:tc>
        <w:tc>
          <w:tcPr>
            <w:tcW w:w="61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-500</w:t>
            </w:r>
          </w:p>
        </w:tc>
        <w:tc>
          <w:tcPr>
            <w:tcW w:w="49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800</w:t>
            </w:r>
          </w:p>
        </w:tc>
        <w:tc>
          <w:tcPr>
            <w:tcW w:w="37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800</w:t>
            </w:r>
          </w:p>
        </w:tc>
        <w:tc>
          <w:tcPr>
            <w:tcW w:w="37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800</w:t>
            </w:r>
          </w:p>
        </w:tc>
        <w:tc>
          <w:tcPr>
            <w:tcW w:w="49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800</w:t>
            </w:r>
          </w:p>
        </w:tc>
        <w:tc>
          <w:tcPr>
            <w:tcW w:w="49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800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169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累计净现金流量</w:t>
            </w:r>
          </w:p>
        </w:tc>
        <w:tc>
          <w:tcPr>
            <w:tcW w:w="49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-500</w:t>
            </w:r>
          </w:p>
        </w:tc>
        <w:tc>
          <w:tcPr>
            <w:tcW w:w="61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-1000</w:t>
            </w:r>
          </w:p>
        </w:tc>
        <w:tc>
          <w:tcPr>
            <w:tcW w:w="61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-1500</w:t>
            </w:r>
          </w:p>
        </w:tc>
        <w:tc>
          <w:tcPr>
            <w:tcW w:w="49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-700</w:t>
            </w:r>
          </w:p>
        </w:tc>
        <w:tc>
          <w:tcPr>
            <w:tcW w:w="37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100</w:t>
            </w:r>
          </w:p>
        </w:tc>
        <w:tc>
          <w:tcPr>
            <w:tcW w:w="37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900</w:t>
            </w:r>
          </w:p>
        </w:tc>
        <w:tc>
          <w:tcPr>
            <w:tcW w:w="49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1700</w:t>
            </w:r>
          </w:p>
        </w:tc>
        <w:tc>
          <w:tcPr>
            <w:tcW w:w="495" w:type="dxa"/>
            <w:tcBorders>
              <w:top w:val="outset" w:color="auto" w:sz="6" w:space="0"/>
              <w:left w:val="outset" w:color="auto" w:sz="6" w:space="0"/>
              <w:bottom w:val="outset" w:color="auto" w:sz="6" w:space="0"/>
              <w:right w:val="outset" w:color="auto" w:sz="6" w:space="0"/>
            </w:tcBorders>
            <w:vAlign w:val="center"/>
          </w:tcPr>
          <w:p>
            <w:pPr>
              <w:widowControl/>
              <w:spacing w:before="84" w:after="84"/>
              <w:jc w:val="left"/>
              <w:rPr>
                <w:rFonts w:ascii="宋体" w:hAnsi="宋体" w:eastAsia="宋体" w:cs="宋体"/>
                <w:kern w:val="0"/>
                <w:sz w:val="24"/>
                <w:szCs w:val="24"/>
              </w:rPr>
            </w:pPr>
            <w:r>
              <w:rPr>
                <w:rFonts w:ascii="宋体" w:hAnsi="宋体" w:eastAsia="宋体" w:cs="宋体"/>
                <w:kern w:val="0"/>
                <w:sz w:val="24"/>
                <w:szCs w:val="24"/>
              </w:rPr>
              <w:t>2500</w:t>
            </w:r>
          </w:p>
        </w:tc>
      </w:tr>
    </w:tbl>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于是，根据静态投资回收期的概念及计算公式（式1024-3），静态投资回收期（Pt）＝（5-1）+|-700|/800＝4.88（年）。</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2.某技术方案的期初投资为1200万元，建设期1年，运营期每年获得净现金流入300万元。若项目的计算期为6年，基准收益率为10%，则其财务净现值是（　）万元。</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A.600</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B.120.5</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C.106.5</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D.-166.15</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【答案】D</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解析】本题考查的是财务净现值的概念。结合题意，该方案的运营期应当为5年，即第2年至第6年；根据财务净现值的含义及其计算公式（1025），该方案的财务净现值（FNPV）＝-1200+300×（P/A，10%，5）×（P/F，10%，1）＝-166.15（万元）。</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3.某技术方案具有常规现金流量，当基准收益率为12%时，财务净现值为-67万元；当基准收益率为8%时，财务净现值为242.76万元；当基准收益率为6%时，财务净现值为341.76万元。则该技术方案的内部收益率最可能的范围为（　）。</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A.小于6%</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B.大于6%，小于8%</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C.大于12%</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D.大于8%，小于12%</w:t>
      </w:r>
    </w:p>
    <w:p>
      <w:pPr>
        <w:widowControl/>
        <w:spacing w:before="84" w:after="84" w:line="335" w:lineRule="atLeast"/>
        <w:jc w:val="left"/>
        <w:rPr>
          <w:rFonts w:ascii="Tahoma" w:hAnsi="Tahoma" w:eastAsia="宋体" w:cs="Tahoma"/>
          <w:kern w:val="0"/>
          <w:sz w:val="22"/>
        </w:rPr>
      </w:pPr>
      <w:r>
        <w:rPr>
          <w:rFonts w:ascii="Tahoma" w:hAnsi="Tahoma" w:eastAsia="宋体" w:cs="Tahoma"/>
          <w:kern w:val="0"/>
          <w:sz w:val="22"/>
        </w:rPr>
        <w:t>　　【答案】D</w:t>
      </w:r>
    </w:p>
    <w:p>
      <w:pPr>
        <w:ind w:firstLine="450"/>
        <w:rPr>
          <w:rFonts w:ascii="Tahoma" w:hAnsi="Tahoma" w:eastAsia="宋体" w:cs="Tahoma"/>
          <w:kern w:val="0"/>
          <w:sz w:val="22"/>
        </w:rPr>
      </w:pPr>
      <w:r>
        <w:rPr>
          <w:rFonts w:ascii="Tahoma" w:hAnsi="Tahoma" w:eastAsia="宋体" w:cs="Tahoma"/>
          <w:kern w:val="0"/>
          <w:sz w:val="22"/>
        </w:rPr>
        <w:t>【解析】本题考查的是财务内部收益率的概念。对于常规方案，FNPV与i成反比，即FNPV会随着i的增大而减少，并由正值变向负值。方案的财务内部收益率，就是使财务净现值等于0时的i。从题意可得，若使FNPV＝0，则i一定要大于8%，小于12%。</w:t>
      </w:r>
    </w:p>
    <w:p>
      <w:pPr>
        <w:pStyle w:val="5"/>
        <w:spacing w:before="150" w:beforeAutospacing="0" w:after="150" w:afterAutospacing="0" w:line="360" w:lineRule="atLeast"/>
        <w:rPr>
          <w:rFonts w:hint="eastAsia"/>
          <w:color w:val="000000"/>
          <w:sz w:val="21"/>
          <w:szCs w:val="21"/>
        </w:rPr>
      </w:pPr>
    </w:p>
    <w:p>
      <w:pPr>
        <w:jc w:val="center"/>
        <w:rPr>
          <w:rFonts w:hint="eastAsia" w:eastAsiaTheme="minorEastAsia"/>
          <w:b/>
          <w:bCs/>
          <w:color w:val="0000FF"/>
          <w:sz w:val="24"/>
          <w:szCs w:val="24"/>
          <w:lang w:val="en-US" w:eastAsia="zh-CN"/>
        </w:rPr>
      </w:pPr>
      <w:r>
        <w:rPr>
          <w:rFonts w:hint="eastAsia"/>
          <w:b/>
          <w:bCs/>
          <w:color w:val="0000FF"/>
          <w:sz w:val="24"/>
          <w:szCs w:val="24"/>
          <w:lang w:eastAsia="zh-CN"/>
        </w:rPr>
        <w:t>更多资料领取加入</w:t>
      </w:r>
      <w:r>
        <w:rPr>
          <w:rFonts w:hint="eastAsia"/>
          <w:b/>
          <w:bCs/>
          <w:color w:val="0000FF"/>
          <w:sz w:val="24"/>
          <w:szCs w:val="24"/>
          <w:lang w:val="en-US" w:eastAsia="zh-CN"/>
        </w:rPr>
        <w:t>QQ群：153639907</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1588135"/>
          <wp:effectExtent l="0" t="0" r="0" b="0"/>
          <wp:wrapNone/>
          <wp:docPr id="7" name="WordPictureWatermark94378" descr="123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94378" descr="123_03"/>
                  <pic:cNvPicPr>
                    <a:picLocks noChangeAspect="1"/>
                  </pic:cNvPicPr>
                </pic:nvPicPr>
                <pic:blipFill>
                  <a:blip r:embed="rId1">
                    <a:lum bright="69998" contrast="-70001"/>
                  </a:blip>
                  <a:stretch>
                    <a:fillRect/>
                  </a:stretch>
                </pic:blipFill>
                <pic:spPr>
                  <a:xfrm>
                    <a:off x="0" y="0"/>
                    <a:ext cx="5274310" cy="158813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EE761F"/>
    <w:rsid w:val="00C37251"/>
    <w:rsid w:val="00D001FE"/>
    <w:rsid w:val="00EA40EE"/>
    <w:rsid w:val="00EE761F"/>
    <w:rsid w:val="00FE2D86"/>
    <w:rsid w:val="29E5020D"/>
    <w:rsid w:val="35F719A5"/>
    <w:rsid w:val="5DBB5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9">
    <w:name w:val="页眉 Char"/>
    <w:basedOn w:val="6"/>
    <w:link w:val="4"/>
    <w:semiHidden/>
    <w:qFormat/>
    <w:uiPriority w:val="99"/>
    <w:rPr>
      <w:sz w:val="18"/>
      <w:szCs w:val="18"/>
    </w:rPr>
  </w:style>
  <w:style w:type="character" w:customStyle="1" w:styleId="10">
    <w:name w:val="页脚 Char"/>
    <w:basedOn w:val="6"/>
    <w:link w:val="3"/>
    <w:semiHidden/>
    <w:qFormat/>
    <w:uiPriority w:val="99"/>
    <w:rPr>
      <w:sz w:val="18"/>
      <w:szCs w:val="18"/>
    </w:r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7.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32</Words>
  <Characters>183</Characters>
  <Lines>1</Lines>
  <Paragraphs>1</Paragraphs>
  <TotalTime>0</TotalTime>
  <ScaleCrop>false</ScaleCrop>
  <LinksUpToDate>false</LinksUpToDate>
  <CharactersWithSpaces>214</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2016-09-06T08:44:00Z</dcterms:created>
  <dc:creator>dell</dc:creator>
  <cp:lastModifiedBy>热热腾腾</cp:lastModifiedBy>
  <dcterms:modified xsi:type="dcterms:W3CDTF">2018-10-31T03:29:07Z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